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谈判文件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hint="eastAsia" w:ascii="宋体" w:eastAsia="宋体" w:cs="Times New Roman"/>
          <w:kern w:val="0"/>
          <w:sz w:val="36"/>
          <w:szCs w:val="36"/>
          <w:lang w:eastAsia="zh-CN"/>
        </w:rPr>
      </w:pPr>
      <w:r>
        <w:rPr>
          <w:rFonts w:hint="eastAsia" w:ascii="宋体" w:hAnsi="宋体" w:cs="宋体"/>
          <w:kern w:val="0"/>
          <w:sz w:val="36"/>
          <w:szCs w:val="36"/>
        </w:rPr>
        <w:t>项目名称：</w:t>
      </w:r>
      <w:r>
        <w:rPr>
          <w:rFonts w:hint="eastAsia" w:ascii="宋体" w:hAnsi="宋体" w:cs="宋体"/>
          <w:kern w:val="0"/>
          <w:sz w:val="36"/>
          <w:szCs w:val="36"/>
          <w:lang w:eastAsia="zh-CN"/>
        </w:rPr>
        <w:t>医院门诊电子显示屏更换</w:t>
      </w:r>
    </w:p>
    <w:p>
      <w:pPr>
        <w:ind w:firstLine="2106" w:firstLineChars="600"/>
        <w:rPr>
          <w:rFonts w:ascii="宋体" w:cs="Times New Roman"/>
          <w:kern w:val="0"/>
          <w:sz w:val="36"/>
          <w:szCs w:val="36"/>
        </w:rPr>
      </w:pPr>
    </w:p>
    <w:p>
      <w:pPr>
        <w:rPr>
          <w:rFonts w:hint="eastAsia" w:ascii="宋体" w:eastAsia="宋体" w:cs="Times New Roman"/>
          <w:kern w:val="0"/>
          <w:sz w:val="36"/>
          <w:szCs w:val="36"/>
          <w:lang w:eastAsia="zh-CN"/>
        </w:rPr>
      </w:pPr>
      <w:r>
        <w:rPr>
          <w:rFonts w:hint="eastAsia" w:ascii="宋体" w:hAnsi="宋体" w:cs="宋体"/>
          <w:kern w:val="0"/>
          <w:sz w:val="36"/>
          <w:szCs w:val="36"/>
        </w:rPr>
        <w:t>项目编号：</w:t>
      </w:r>
      <w:r>
        <w:rPr>
          <w:rFonts w:hint="eastAsia" w:ascii="宋体" w:hAnsi="宋体" w:cs="宋体"/>
          <w:kern w:val="0"/>
          <w:sz w:val="36"/>
          <w:szCs w:val="36"/>
          <w:lang w:eastAsia="zh-CN"/>
        </w:rPr>
        <w:t>GZBC20FG01002</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cs="Times New Roman"/>
          <w:kern w:val="0"/>
          <w:sz w:val="36"/>
          <w:szCs w:val="36"/>
        </w:rPr>
      </w:pPr>
      <w:r>
        <w:rPr>
          <w:rFonts w:hint="eastAsia" w:ascii="宋体" w:hAnsi="宋体" w:cs="宋体"/>
          <w:kern w:val="0"/>
          <w:sz w:val="36"/>
          <w:szCs w:val="36"/>
        </w:rPr>
        <w:t>（中国人民解放军</w:t>
      </w:r>
      <w:r>
        <w:rPr>
          <w:rFonts w:hint="eastAsia" w:ascii="宋体" w:hAnsi="宋体" w:cs="宋体"/>
          <w:kern w:val="0"/>
          <w:sz w:val="36"/>
          <w:szCs w:val="36"/>
          <w:lang w:val="en-US" w:eastAsia="zh-CN"/>
        </w:rPr>
        <w:t>第七十四集团军</w:t>
      </w:r>
      <w:bookmarkStart w:id="17" w:name="_GoBack"/>
      <w:bookmarkEnd w:id="17"/>
      <w:r>
        <w:rPr>
          <w:rFonts w:hint="eastAsia" w:ascii="宋体" w:hAnsi="宋体" w:cs="宋体"/>
          <w:kern w:val="0"/>
          <w:sz w:val="36"/>
          <w:szCs w:val="36"/>
        </w:rPr>
        <w:t>医院）（盖章）</w:t>
      </w:r>
    </w:p>
    <w:p>
      <w:pPr>
        <w:jc w:val="center"/>
        <w:rPr>
          <w:rFonts w:ascii="宋体" w:cs="Times New Roman"/>
          <w:spacing w:val="-26"/>
          <w:kern w:val="0"/>
          <w:sz w:val="36"/>
          <w:szCs w:val="36"/>
        </w:rPr>
      </w:pPr>
    </w:p>
    <w:p>
      <w:pPr>
        <w:spacing w:line="560" w:lineRule="exact"/>
        <w:jc w:val="center"/>
        <w:rPr>
          <w:rFonts w:hint="eastAsia" w:ascii="宋体" w:hAnsi="宋体" w:eastAsia="方正小标宋简体" w:cs="宋体"/>
          <w:kern w:val="0"/>
          <w:sz w:val="36"/>
          <w:szCs w:val="36"/>
          <w:lang w:eastAsia="zh-CN"/>
        </w:rPr>
      </w:pPr>
      <w:r>
        <w:rPr>
          <w:rFonts w:hint="eastAsia" w:ascii="宋体" w:hAnsi="宋体" w:eastAsia="方正小标宋简体" w:cs="宋体"/>
          <w:kern w:val="0"/>
          <w:sz w:val="36"/>
          <w:szCs w:val="36"/>
          <w:lang w:eastAsia="zh-CN"/>
        </w:rPr>
        <w:t>二〇二〇年一月</w:t>
      </w:r>
    </w:p>
    <w:p>
      <w:pPr>
        <w:pStyle w:val="2"/>
        <w:rPr>
          <w:rFonts w:hint="eastAsia"/>
          <w:lang w:eastAsia="zh-CN"/>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hint="eastAsia" w:ascii="Times New Roman" w:hAnsi="Times New Roman" w:eastAsia="方正小标宋简体" w:cs="方正小标宋简体"/>
          <w:kern w:val="0"/>
          <w:sz w:val="44"/>
          <w:szCs w:val="44"/>
        </w:rPr>
      </w:pPr>
    </w:p>
    <w:p>
      <w:pPr>
        <w:spacing w:line="56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特别提示：谈判报价注意事项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一、报价方应特别留意谈判文件上载明的报价文件递交开始截止时间，提前或逾期送达（含邮寄送达）的报价文件概不接受。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仿宋_GB2312"/>
          <w:kern w:val="0"/>
          <w:sz w:val="32"/>
          <w:szCs w:val="32"/>
          <w:u w:color="000000"/>
        </w:rPr>
        <w:t>二、</w:t>
      </w:r>
      <w:r>
        <w:rPr>
          <w:rFonts w:hint="eastAsia" w:ascii="仿宋_GB2312" w:hAnsi="黑体" w:eastAsia="仿宋_GB2312" w:cs="仿宋_GB2312"/>
          <w:color w:val="000000"/>
          <w:kern w:val="0"/>
          <w:sz w:val="32"/>
          <w:szCs w:val="32"/>
          <w:u w:color="000000"/>
        </w:rPr>
        <w:t>报价方须交纳谈判保证</w:t>
      </w:r>
      <w:r>
        <w:rPr>
          <w:rFonts w:hint="eastAsia" w:ascii="仿宋_GB2312" w:hAnsi="黑体" w:eastAsia="仿宋_GB2312" w:cs="仿宋_GB2312"/>
          <w:kern w:val="0"/>
          <w:sz w:val="32"/>
          <w:szCs w:val="32"/>
          <w:u w:color="000000"/>
        </w:rPr>
        <w:t>金，保证金</w:t>
      </w:r>
      <w:r>
        <w:rPr>
          <w:rFonts w:hint="eastAsia" w:ascii="仿宋_GB2312" w:hAnsi="黑体" w:eastAsia="仿宋_GB2312" w:cs="仿宋_GB2312"/>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snapToGrid w:val="0"/>
          <w:kern w:val="0"/>
          <w:sz w:val="32"/>
          <w:szCs w:val="32"/>
          <w:u w:color="000000"/>
        </w:rPr>
        <w:t>三、</w:t>
      </w:r>
      <w:r>
        <w:rPr>
          <w:rFonts w:hint="eastAsia" w:ascii="仿宋_GB2312" w:hAnsi="黑体" w:eastAsia="仿宋_GB2312" w:cs="仿宋_GB2312"/>
          <w:kern w:val="0"/>
          <w:sz w:val="32"/>
          <w:szCs w:val="32"/>
          <w:u w:color="000000"/>
        </w:rPr>
        <w:t>请仔细检查谈判文件要求提交的相关证书的有效期和审核信息。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四、请仔细检查报价文件是否按要求盖公章、签名、签署日期、胶装成册。报价文件需签名之处必须由当事人亲笔签署。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五、谈判过程中报价方提交最终报价时，应将最终报价和其他澄清承诺分开填写、单独密封递交，否则将被视为无效报价。</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六、带★号条款均为实质性响应指标要求，必须全部响应。若有一项带“★”的指标要求未响应或不满足，均视为非实质性响应谈判文件。</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※七、采用综合评分法和性价比法评审时，报价方编制报价文件，应按照谈判文件第五部分附件</w:t>
      </w:r>
      <w:r>
        <w:rPr>
          <w:rFonts w:ascii="仿宋_GB2312" w:hAnsi="黑体" w:eastAsia="仿宋_GB2312" w:cs="仿宋_GB2312"/>
          <w:kern w:val="0"/>
          <w:sz w:val="32"/>
          <w:szCs w:val="32"/>
          <w:u w:color="000000"/>
        </w:rPr>
        <w:t>20</w:t>
      </w:r>
      <w:r>
        <w:rPr>
          <w:rFonts w:hint="eastAsia" w:ascii="仿宋_GB2312" w:hAnsi="黑体" w:eastAsia="仿宋_GB2312" w:cs="仿宋_GB2312"/>
          <w:kern w:val="0"/>
          <w:sz w:val="32"/>
          <w:szCs w:val="32"/>
          <w:u w:color="000000"/>
        </w:rPr>
        <w:t>、</w:t>
      </w:r>
      <w:r>
        <w:rPr>
          <w:rFonts w:ascii="仿宋_GB2312" w:hAnsi="黑体" w:eastAsia="仿宋_GB2312" w:cs="仿宋_GB2312"/>
          <w:kern w:val="0"/>
          <w:sz w:val="32"/>
          <w:szCs w:val="32"/>
          <w:u w:color="000000"/>
        </w:rPr>
        <w:t>21</w:t>
      </w:r>
      <w:r>
        <w:rPr>
          <w:rFonts w:hint="eastAsia" w:ascii="仿宋_GB2312" w:hAnsi="黑体" w:eastAsia="仿宋_GB2312" w:cs="仿宋_GB2312"/>
          <w:kern w:val="0"/>
          <w:sz w:val="32"/>
          <w:szCs w:val="32"/>
          <w:u w:color="000000"/>
        </w:rPr>
        <w:t>表格要求，填写指标值或评分项及其在投标文件位置页码；评审时评委依据报价文件，对报价方填写的内容进行审核确认，评审系统按照评委确认的信息自动评分。</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仿宋_GB2312"/>
          <w:kern w:val="0"/>
          <w:sz w:val="32"/>
          <w:szCs w:val="32"/>
          <w:u w:color="000000"/>
        </w:rPr>
        <w:t>八、供应商发现购买谈判文件时提交的相关资料被盗用或复制，应遵循法律途径解决，追究侵权者责任。</w:t>
      </w: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第一部分谈判邀请书…………………………………………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w:t>
      </w:r>
      <w:r>
        <w:rPr>
          <w:rFonts w:hint="eastAsia" w:ascii="仿宋_GB2312" w:hAnsi="宋体" w:eastAsia="仿宋_GB2312" w:cs="仿宋_GB2312"/>
          <w:kern w:val="0"/>
          <w:sz w:val="32"/>
          <w:szCs w:val="32"/>
          <w:lang w:eastAsia="zh-CN"/>
        </w:rPr>
        <w:t>货物一览表及技术、服务要求</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5</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46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w:t>
      </w:r>
      <w:r>
        <w:rPr>
          <w:rFonts w:ascii="仿宋_GB2312" w:hAnsi="宋体" w:eastAsia="仿宋_GB2312" w:cs="仿宋_GB2312"/>
          <w:kern w:val="0"/>
          <w:sz w:val="32"/>
          <w:szCs w:val="32"/>
        </w:rPr>
        <w:t>49</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谈判邀请书</w:t>
      </w:r>
    </w:p>
    <w:bookmarkEnd w:id="0"/>
    <w:p>
      <w:pPr>
        <w:spacing w:line="540" w:lineRule="exact"/>
        <w:ind w:firstLine="622" w:firstLineChars="200"/>
        <w:rPr>
          <w:rFonts w:ascii="Times New Roman" w:hAnsi="Times New Roman" w:cs="Times New Roman"/>
          <w:kern w:val="0"/>
          <w:sz w:val="32"/>
          <w:szCs w:val="32"/>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我部就以下项目进行竞争性谈判，欢迎贵单位参加谈判报价。</w:t>
      </w:r>
    </w:p>
    <w:p>
      <w:pPr>
        <w:ind w:firstLine="622" w:firstLineChars="200"/>
        <w:rPr>
          <w:rFonts w:hint="eastAsia" w:ascii="Times New Roman" w:hAnsi="Times New Roman" w:eastAsia="黑体" w:cs="Times New Roman"/>
          <w:kern w:val="0"/>
          <w:sz w:val="32"/>
          <w:szCs w:val="32"/>
          <w:lang w:eastAsia="zh-CN"/>
        </w:rPr>
      </w:pPr>
      <w:r>
        <w:rPr>
          <w:rFonts w:hint="eastAsia" w:ascii="Times New Roman" w:hAnsi="Times New Roman" w:eastAsia="黑体" w:cs="黑体"/>
          <w:kern w:val="0"/>
          <w:sz w:val="32"/>
          <w:szCs w:val="32"/>
        </w:rPr>
        <w:t>一、项目名称：</w:t>
      </w:r>
      <w:r>
        <w:rPr>
          <w:rFonts w:hint="eastAsia" w:ascii="Times New Roman" w:hAnsi="Times New Roman" w:eastAsia="黑体" w:cs="黑体"/>
          <w:kern w:val="0"/>
          <w:sz w:val="32"/>
          <w:szCs w:val="32"/>
          <w:lang w:eastAsia="zh-CN"/>
        </w:rPr>
        <w:t>医院门诊电子显示屏更换</w:t>
      </w:r>
    </w:p>
    <w:p>
      <w:pPr>
        <w:tabs>
          <w:tab w:val="left" w:pos="0"/>
          <w:tab w:val="left" w:pos="1122"/>
        </w:tabs>
        <w:ind w:firstLine="622" w:firstLineChars="200"/>
        <w:rPr>
          <w:rFonts w:hint="eastAsia" w:ascii="Times New Roman" w:hAnsi="Times New Roman" w:eastAsia="黑体" w:cs="Times New Roman"/>
          <w:kern w:val="0"/>
          <w:sz w:val="32"/>
          <w:szCs w:val="32"/>
          <w:lang w:eastAsia="zh-CN"/>
        </w:rPr>
      </w:pPr>
      <w:r>
        <w:rPr>
          <w:rFonts w:hint="eastAsia" w:ascii="Times New Roman" w:hAnsi="Times New Roman" w:eastAsia="黑体" w:cs="黑体"/>
          <w:kern w:val="0"/>
          <w:sz w:val="32"/>
          <w:szCs w:val="32"/>
        </w:rPr>
        <w:t>二、项目编号：</w:t>
      </w:r>
      <w:r>
        <w:rPr>
          <w:rFonts w:hint="eastAsia" w:ascii="Times New Roman" w:hAnsi="Times New Roman" w:eastAsia="黑体" w:cs="Times New Roman"/>
          <w:kern w:val="0"/>
          <w:sz w:val="32"/>
          <w:szCs w:val="32"/>
          <w:lang w:eastAsia="zh-CN"/>
        </w:rPr>
        <w:t>GZBC20FG01002</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三、货物名称、数量：</w:t>
      </w:r>
    </w:p>
    <w:tbl>
      <w:tblPr>
        <w:tblStyle w:val="1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66"/>
        <w:gridCol w:w="803"/>
        <w:gridCol w:w="698"/>
        <w:gridCol w:w="735"/>
        <w:gridCol w:w="780"/>
        <w:gridCol w:w="1536"/>
        <w:gridCol w:w="841"/>
        <w:gridCol w:w="83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jc w:val="center"/>
        </w:trPr>
        <w:tc>
          <w:tcPr>
            <w:tcW w:w="725" w:type="dxa"/>
            <w:vAlign w:val="center"/>
          </w:tcPr>
          <w:p>
            <w:pPr>
              <w:spacing w:line="300" w:lineRule="exact"/>
              <w:jc w:val="center"/>
              <w:rPr>
                <w:rFonts w:ascii="宋体" w:cs="Times New Roman"/>
                <w:snapToGrid w:val="0"/>
              </w:rPr>
            </w:pPr>
            <w:r>
              <w:rPr>
                <w:rFonts w:hint="eastAsia" w:ascii="宋体" w:hAnsi="宋体" w:cs="宋体"/>
                <w:snapToGrid w:val="0"/>
                <w:kern w:val="0"/>
              </w:rPr>
              <w:t>包号</w:t>
            </w:r>
          </w:p>
        </w:tc>
        <w:tc>
          <w:tcPr>
            <w:tcW w:w="1266" w:type="dxa"/>
            <w:vAlign w:val="center"/>
          </w:tcPr>
          <w:p>
            <w:pPr>
              <w:spacing w:line="300" w:lineRule="exact"/>
              <w:jc w:val="center"/>
              <w:rPr>
                <w:rFonts w:ascii="宋体" w:cs="Times New Roman"/>
                <w:snapToGrid w:val="0"/>
              </w:rPr>
            </w:pPr>
            <w:r>
              <w:rPr>
                <w:rFonts w:hint="eastAsia" w:ascii="宋体" w:hAnsi="宋体" w:cs="宋体"/>
                <w:snapToGrid w:val="0"/>
                <w:kern w:val="0"/>
              </w:rPr>
              <w:t>货物名称</w:t>
            </w:r>
          </w:p>
        </w:tc>
        <w:tc>
          <w:tcPr>
            <w:tcW w:w="803" w:type="dxa"/>
            <w:vAlign w:val="center"/>
          </w:tcPr>
          <w:p>
            <w:pPr>
              <w:spacing w:line="300" w:lineRule="exact"/>
              <w:jc w:val="center"/>
              <w:rPr>
                <w:rFonts w:ascii="宋体" w:cs="Times New Roman"/>
                <w:snapToGrid w:val="0"/>
                <w:kern w:val="0"/>
              </w:rPr>
            </w:pPr>
            <w:r>
              <w:rPr>
                <w:rFonts w:hint="eastAsia" w:ascii="宋体" w:hAnsi="宋体" w:cs="宋体"/>
                <w:snapToGrid w:val="0"/>
                <w:kern w:val="0"/>
              </w:rPr>
              <w:t>规格</w:t>
            </w:r>
          </w:p>
          <w:p>
            <w:pPr>
              <w:spacing w:line="300" w:lineRule="exact"/>
              <w:jc w:val="center"/>
              <w:rPr>
                <w:rFonts w:ascii="宋体" w:cs="Times New Roman"/>
                <w:snapToGrid w:val="0"/>
              </w:rPr>
            </w:pPr>
            <w:r>
              <w:rPr>
                <w:rFonts w:hint="eastAsia" w:ascii="宋体" w:hAnsi="宋体" w:cs="宋体"/>
                <w:snapToGrid w:val="0"/>
                <w:kern w:val="0"/>
              </w:rPr>
              <w:t>型号</w:t>
            </w:r>
          </w:p>
        </w:tc>
        <w:tc>
          <w:tcPr>
            <w:tcW w:w="698" w:type="dxa"/>
            <w:vAlign w:val="center"/>
          </w:tcPr>
          <w:p>
            <w:pPr>
              <w:spacing w:line="300" w:lineRule="exact"/>
              <w:jc w:val="center"/>
              <w:rPr>
                <w:rFonts w:ascii="宋体" w:cs="Times New Roman"/>
                <w:snapToGrid w:val="0"/>
              </w:rPr>
            </w:pPr>
            <w:r>
              <w:rPr>
                <w:rFonts w:hint="eastAsia" w:ascii="宋体" w:hAnsi="宋体" w:cs="宋体"/>
                <w:snapToGrid w:val="0"/>
                <w:kern w:val="0"/>
              </w:rPr>
              <w:t>技术要求</w:t>
            </w:r>
          </w:p>
        </w:tc>
        <w:tc>
          <w:tcPr>
            <w:tcW w:w="735" w:type="dxa"/>
            <w:vAlign w:val="center"/>
          </w:tcPr>
          <w:p>
            <w:pPr>
              <w:spacing w:line="300" w:lineRule="exact"/>
              <w:jc w:val="center"/>
              <w:rPr>
                <w:rFonts w:ascii="宋体" w:cs="Times New Roman"/>
                <w:snapToGrid w:val="0"/>
              </w:rPr>
            </w:pPr>
            <w:r>
              <w:rPr>
                <w:rFonts w:hint="eastAsia" w:ascii="宋体" w:hAnsi="宋体" w:cs="宋体"/>
                <w:snapToGrid w:val="0"/>
                <w:kern w:val="0"/>
              </w:rPr>
              <w:t>计量</w:t>
            </w:r>
          </w:p>
          <w:p>
            <w:pPr>
              <w:spacing w:line="300" w:lineRule="exact"/>
              <w:jc w:val="center"/>
              <w:rPr>
                <w:rFonts w:ascii="宋体" w:cs="Times New Roman"/>
                <w:snapToGrid w:val="0"/>
              </w:rPr>
            </w:pPr>
            <w:r>
              <w:rPr>
                <w:rFonts w:hint="eastAsia" w:ascii="宋体" w:hAnsi="宋体" w:cs="宋体"/>
                <w:snapToGrid w:val="0"/>
                <w:kern w:val="0"/>
              </w:rPr>
              <w:t>单位</w:t>
            </w:r>
          </w:p>
        </w:tc>
        <w:tc>
          <w:tcPr>
            <w:tcW w:w="780" w:type="dxa"/>
            <w:vAlign w:val="center"/>
          </w:tcPr>
          <w:p>
            <w:pPr>
              <w:spacing w:line="300" w:lineRule="exact"/>
              <w:jc w:val="center"/>
              <w:rPr>
                <w:rFonts w:ascii="宋体" w:cs="Times New Roman"/>
                <w:snapToGrid w:val="0"/>
              </w:rPr>
            </w:pPr>
            <w:r>
              <w:rPr>
                <w:rFonts w:hint="eastAsia" w:ascii="宋体" w:hAnsi="宋体" w:cs="宋体"/>
                <w:snapToGrid w:val="0"/>
                <w:kern w:val="0"/>
              </w:rPr>
              <w:t>数量</w:t>
            </w:r>
          </w:p>
        </w:tc>
        <w:tc>
          <w:tcPr>
            <w:tcW w:w="1536" w:type="dxa"/>
            <w:vAlign w:val="center"/>
          </w:tcPr>
          <w:p>
            <w:pPr>
              <w:spacing w:line="300" w:lineRule="exact"/>
              <w:jc w:val="center"/>
              <w:rPr>
                <w:rFonts w:ascii="宋体" w:cs="Times New Roman"/>
                <w:snapToGrid w:val="0"/>
              </w:rPr>
            </w:pPr>
            <w:r>
              <w:rPr>
                <w:rFonts w:hint="eastAsia" w:ascii="宋体" w:hAnsi="宋体" w:cs="宋体"/>
                <w:snapToGrid w:val="0"/>
                <w:kern w:val="0"/>
                <w:lang w:eastAsia="zh-CN"/>
              </w:rPr>
              <w:t>服务</w:t>
            </w:r>
            <w:r>
              <w:rPr>
                <w:rFonts w:hint="eastAsia" w:ascii="宋体" w:hAnsi="宋体" w:cs="宋体"/>
                <w:snapToGrid w:val="0"/>
                <w:kern w:val="0"/>
              </w:rPr>
              <w:t>时间</w:t>
            </w:r>
          </w:p>
        </w:tc>
        <w:tc>
          <w:tcPr>
            <w:tcW w:w="841" w:type="dxa"/>
            <w:vAlign w:val="center"/>
          </w:tcPr>
          <w:p>
            <w:pPr>
              <w:spacing w:line="300" w:lineRule="exact"/>
              <w:jc w:val="center"/>
              <w:rPr>
                <w:rFonts w:ascii="宋体" w:cs="Times New Roman"/>
                <w:snapToGrid w:val="0"/>
                <w:kern w:val="0"/>
              </w:rPr>
            </w:pPr>
            <w:r>
              <w:rPr>
                <w:rFonts w:hint="eastAsia" w:ascii="宋体" w:hAnsi="宋体" w:cs="宋体"/>
                <w:snapToGrid w:val="0"/>
                <w:kern w:val="0"/>
              </w:rPr>
              <w:t>交货</w:t>
            </w:r>
          </w:p>
          <w:p>
            <w:pPr>
              <w:spacing w:line="300" w:lineRule="exact"/>
              <w:jc w:val="center"/>
              <w:rPr>
                <w:rFonts w:ascii="宋体" w:cs="Times New Roman"/>
                <w:snapToGrid w:val="0"/>
              </w:rPr>
            </w:pPr>
            <w:r>
              <w:rPr>
                <w:rFonts w:hint="eastAsia" w:ascii="宋体" w:hAnsi="宋体" w:cs="宋体"/>
                <w:snapToGrid w:val="0"/>
                <w:kern w:val="0"/>
              </w:rPr>
              <w:t>地点</w:t>
            </w:r>
          </w:p>
        </w:tc>
        <w:tc>
          <w:tcPr>
            <w:tcW w:w="831" w:type="dxa"/>
            <w:vAlign w:val="center"/>
          </w:tcPr>
          <w:p>
            <w:pPr>
              <w:spacing w:line="300" w:lineRule="exact"/>
              <w:jc w:val="center"/>
              <w:rPr>
                <w:rFonts w:ascii="宋体" w:cs="Times New Roman"/>
                <w:snapToGrid w:val="0"/>
                <w:color w:val="FF0000"/>
              </w:rPr>
            </w:pPr>
            <w:r>
              <w:rPr>
                <w:rFonts w:hint="eastAsia" w:ascii="宋体" w:hAnsi="宋体" w:cs="宋体"/>
                <w:snapToGrid w:val="0"/>
                <w:color w:val="FF0000"/>
                <w:lang w:eastAsia="zh-CN"/>
              </w:rPr>
              <w:t>总控制</w:t>
            </w:r>
            <w:r>
              <w:rPr>
                <w:rFonts w:hint="eastAsia" w:ascii="宋体" w:hAnsi="宋体" w:cs="宋体"/>
                <w:snapToGrid w:val="0"/>
                <w:color w:val="FF0000"/>
              </w:rPr>
              <w:t>价</w:t>
            </w:r>
          </w:p>
        </w:tc>
        <w:tc>
          <w:tcPr>
            <w:tcW w:w="816" w:type="dxa"/>
            <w:vAlign w:val="center"/>
          </w:tcPr>
          <w:p>
            <w:pPr>
              <w:spacing w:line="300" w:lineRule="exact"/>
              <w:jc w:val="center"/>
              <w:rPr>
                <w:rFonts w:ascii="宋体" w:cs="Times New Roman"/>
                <w:snapToGrid w:val="0"/>
                <w:kern w:val="0"/>
              </w:rPr>
            </w:pPr>
            <w:r>
              <w:rPr>
                <w:rFonts w:hint="eastAsia" w:ascii="宋体" w:hAnsi="宋体" w:cs="宋体"/>
                <w:snapToGrid w:val="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exact"/>
          <w:jc w:val="center"/>
        </w:trPr>
        <w:tc>
          <w:tcPr>
            <w:tcW w:w="725" w:type="dxa"/>
            <w:vAlign w:val="center"/>
          </w:tcPr>
          <w:p>
            <w:pPr>
              <w:spacing w:line="300" w:lineRule="exact"/>
              <w:jc w:val="center"/>
              <w:rPr>
                <w:rFonts w:ascii="宋体" w:cs="Times New Roman"/>
              </w:rPr>
            </w:pPr>
            <w:r>
              <w:rPr>
                <w:rFonts w:ascii="宋体" w:hAnsi="宋体" w:cs="宋体"/>
              </w:rPr>
              <w:t>1</w:t>
            </w:r>
          </w:p>
        </w:tc>
        <w:tc>
          <w:tcPr>
            <w:tcW w:w="1266" w:type="dxa"/>
            <w:vAlign w:val="center"/>
          </w:tcPr>
          <w:p>
            <w:pPr>
              <w:spacing w:line="300" w:lineRule="exact"/>
              <w:jc w:val="center"/>
              <w:rPr>
                <w:rFonts w:hint="eastAsia" w:ascii="宋体" w:eastAsia="宋体" w:cs="Times New Roman"/>
                <w:lang w:eastAsia="zh-CN"/>
              </w:rPr>
            </w:pPr>
            <w:r>
              <w:rPr>
                <w:rFonts w:hint="eastAsia" w:ascii="微软雅黑" w:hAnsi="微软雅黑" w:eastAsia="微软雅黑" w:cs="微软雅黑"/>
                <w:sz w:val="21"/>
                <w:szCs w:val="21"/>
                <w:lang w:eastAsia="zh-CN"/>
              </w:rPr>
              <w:t>医院门诊电子显示屏更换</w:t>
            </w:r>
          </w:p>
        </w:tc>
        <w:tc>
          <w:tcPr>
            <w:tcW w:w="803" w:type="dxa"/>
            <w:vAlign w:val="center"/>
          </w:tcPr>
          <w:p>
            <w:pPr>
              <w:spacing w:line="300" w:lineRule="exact"/>
              <w:jc w:val="center"/>
              <w:rPr>
                <w:rFonts w:ascii="宋体" w:cs="Times New Roman"/>
              </w:rPr>
            </w:pPr>
            <w:r>
              <w:rPr>
                <w:rFonts w:hint="eastAsia" w:ascii="宋体" w:hAnsi="宋体" w:cs="宋体"/>
              </w:rPr>
              <w:t>详见清单</w:t>
            </w:r>
          </w:p>
        </w:tc>
        <w:tc>
          <w:tcPr>
            <w:tcW w:w="698" w:type="dxa"/>
            <w:vAlign w:val="center"/>
          </w:tcPr>
          <w:p>
            <w:pPr>
              <w:spacing w:line="300" w:lineRule="exact"/>
              <w:jc w:val="center"/>
              <w:rPr>
                <w:rFonts w:ascii="宋体" w:cs="Times New Roman"/>
              </w:rPr>
            </w:pPr>
            <w:r>
              <w:rPr>
                <w:rFonts w:hint="eastAsia" w:ascii="宋体" w:hAnsi="宋体" w:cs="宋体"/>
              </w:rPr>
              <w:t>详见清单</w:t>
            </w:r>
          </w:p>
        </w:tc>
        <w:tc>
          <w:tcPr>
            <w:tcW w:w="735" w:type="dxa"/>
            <w:vAlign w:val="center"/>
          </w:tcPr>
          <w:p>
            <w:pPr>
              <w:spacing w:line="300" w:lineRule="exact"/>
              <w:jc w:val="center"/>
              <w:rPr>
                <w:rFonts w:ascii="宋体" w:cs="Times New Roman"/>
              </w:rPr>
            </w:pPr>
            <w:r>
              <w:rPr>
                <w:rFonts w:hint="eastAsia" w:ascii="宋体" w:hAnsi="宋体" w:cs="宋体"/>
              </w:rPr>
              <w:t>台</w:t>
            </w:r>
            <w:r>
              <w:rPr>
                <w:rFonts w:ascii="宋体" w:hAnsi="宋体" w:cs="宋体"/>
              </w:rPr>
              <w:t>/</w:t>
            </w:r>
            <w:r>
              <w:rPr>
                <w:rFonts w:hint="eastAsia" w:ascii="宋体" w:hAnsi="宋体" w:cs="宋体"/>
              </w:rPr>
              <w:t>套</w:t>
            </w:r>
          </w:p>
        </w:tc>
        <w:tc>
          <w:tcPr>
            <w:tcW w:w="780" w:type="dxa"/>
            <w:vAlign w:val="center"/>
          </w:tcPr>
          <w:p>
            <w:pPr>
              <w:spacing w:line="300" w:lineRule="exact"/>
              <w:jc w:val="center"/>
              <w:rPr>
                <w:rFonts w:ascii="宋体" w:cs="Times New Roman"/>
              </w:rPr>
            </w:pPr>
            <w:r>
              <w:rPr>
                <w:rFonts w:hint="eastAsia" w:ascii="宋体" w:hAnsi="宋体" w:cs="宋体"/>
              </w:rPr>
              <w:t>详见清单</w:t>
            </w:r>
          </w:p>
        </w:tc>
        <w:tc>
          <w:tcPr>
            <w:tcW w:w="1536" w:type="dxa"/>
            <w:vAlign w:val="center"/>
          </w:tcPr>
          <w:p>
            <w:pPr>
              <w:spacing w:line="300" w:lineRule="exact"/>
              <w:jc w:val="left"/>
              <w:rPr>
                <w:rFonts w:hint="default" w:ascii="宋体" w:eastAsia="宋体" w:cs="Times New Roman"/>
                <w:lang w:val="en-US" w:eastAsia="zh-CN"/>
              </w:rPr>
            </w:pPr>
            <w:r>
              <w:rPr>
                <w:rFonts w:hint="eastAsia" w:ascii="宋体" w:cs="Times New Roman"/>
                <w:highlight w:val="yellow"/>
                <w:lang w:val="en-US" w:eastAsia="zh-CN"/>
              </w:rPr>
              <w:t xml:space="preserve"> 2020年1月19—— 2月23日</w:t>
            </w:r>
          </w:p>
        </w:tc>
        <w:tc>
          <w:tcPr>
            <w:tcW w:w="841" w:type="dxa"/>
            <w:vAlign w:val="center"/>
          </w:tcPr>
          <w:p>
            <w:pPr>
              <w:spacing w:line="300" w:lineRule="exact"/>
              <w:jc w:val="left"/>
              <w:rPr>
                <w:rFonts w:hint="default" w:ascii="宋体" w:eastAsia="宋体" w:cs="Times New Roman"/>
                <w:lang w:val="en-US" w:eastAsia="zh-CN"/>
              </w:rPr>
            </w:pPr>
            <w:r>
              <w:rPr>
                <w:rFonts w:hint="eastAsia" w:ascii="宋体" w:cs="Times New Roman"/>
                <w:highlight w:val="yellow"/>
                <w:lang w:val="en-US" w:eastAsia="zh-CN"/>
              </w:rPr>
              <w:t xml:space="preserve">广州市       </w:t>
            </w:r>
          </w:p>
        </w:tc>
        <w:tc>
          <w:tcPr>
            <w:tcW w:w="831" w:type="dxa"/>
            <w:vAlign w:val="center"/>
          </w:tcPr>
          <w:p>
            <w:pPr>
              <w:spacing w:line="300" w:lineRule="exact"/>
              <w:jc w:val="center"/>
              <w:rPr>
                <w:rFonts w:ascii="宋体" w:cs="Times New Roman"/>
                <w:color w:val="FF0000"/>
              </w:rPr>
            </w:pPr>
            <w:r>
              <w:rPr>
                <w:rFonts w:hint="eastAsia" w:ascii="宋体" w:hAnsi="宋体"/>
                <w:b/>
                <w:bCs/>
                <w:snapToGrid/>
                <w:spacing w:val="0"/>
                <w:kern w:val="2"/>
                <w:sz w:val="21"/>
                <w:szCs w:val="21"/>
                <w:lang w:val="en-US" w:eastAsia="zh-CN"/>
              </w:rPr>
              <w:t>295000.00元</w:t>
            </w:r>
          </w:p>
        </w:tc>
        <w:tc>
          <w:tcPr>
            <w:tcW w:w="816" w:type="dxa"/>
            <w:vAlign w:val="center"/>
          </w:tcPr>
          <w:p>
            <w:pPr>
              <w:spacing w:line="30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5" w:type="dxa"/>
            <w:vAlign w:val="center"/>
          </w:tcPr>
          <w:p>
            <w:pPr>
              <w:spacing w:line="300" w:lineRule="exact"/>
              <w:jc w:val="center"/>
              <w:rPr>
                <w:rFonts w:ascii="宋体" w:cs="Times New Roman"/>
              </w:rPr>
            </w:pPr>
            <w:r>
              <w:rPr>
                <w:rFonts w:hint="eastAsia" w:ascii="宋体" w:hAnsi="宋体" w:cs="宋体"/>
                <w:snapToGrid w:val="0"/>
                <w:kern w:val="0"/>
              </w:rPr>
              <w:t>说明</w:t>
            </w:r>
          </w:p>
        </w:tc>
        <w:tc>
          <w:tcPr>
            <w:tcW w:w="8306" w:type="dxa"/>
            <w:gridSpan w:val="9"/>
            <w:vAlign w:val="center"/>
          </w:tcPr>
          <w:p>
            <w:pPr>
              <w:spacing w:line="300" w:lineRule="exact"/>
              <w:rPr>
                <w:rFonts w:ascii="宋体" w:cs="Times New Roman"/>
                <w:kern w:val="0"/>
              </w:rPr>
            </w:pPr>
            <w:r>
              <w:rPr>
                <w:rFonts w:ascii="宋体" w:hAnsi="宋体" w:cs="宋体"/>
                <w:kern w:val="0"/>
              </w:rPr>
              <w:t>1.</w:t>
            </w:r>
            <w:r>
              <w:rPr>
                <w:rFonts w:hint="eastAsia" w:ascii="宋体" w:hAnsi="宋体" w:cs="宋体"/>
                <w:kern w:val="0"/>
              </w:rPr>
              <w:t>报价方须对所报价包内所有产品和数量进行报价，否则视为无效报价。</w:t>
            </w:r>
          </w:p>
        </w:tc>
      </w:tr>
    </w:tbl>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具有独立承担民事责任的能力；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具有良好的商业信誉和健全的财务会计制度；</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具有履行合同所必需的设备和专业技术能力；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有依法缴纳税收和社会保障资金的良好记录；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参加政府采购活动前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年内，在经营活动中没有重大违法记录；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※（二）供应商成立时间不少于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年，且为非外资独资或外资控股企业。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年内不得参加军队采购活动的处罚。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（四）本项目不接受联合体报价。</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六、谈判文件发售时间、地点、方式及售价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（一）发售时间：</w:t>
      </w:r>
      <w:r>
        <w:rPr>
          <w:rFonts w:hint="eastAsia" w:ascii="仿宋_GB2312" w:hAnsi="宋体" w:eastAsia="仿宋_GB2312" w:cs="仿宋_GB2312"/>
          <w:kern w:val="0"/>
          <w:sz w:val="32"/>
          <w:szCs w:val="32"/>
          <w:lang w:eastAsia="zh-CN"/>
        </w:rPr>
        <w:t>2020</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highlight w:val="yellow"/>
          <w:lang w:val="en-US" w:eastAsia="zh-CN"/>
        </w:rPr>
        <w:t>1</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highlight w:val="yellow"/>
          <w:lang w:val="en-US" w:eastAsia="zh-CN"/>
        </w:rPr>
        <w:t>10</w:t>
      </w:r>
      <w:r>
        <w:rPr>
          <w:rFonts w:hint="eastAsia" w:ascii="仿宋_GB2312" w:hAnsi="宋体" w:eastAsia="仿宋_GB2312" w:cs="仿宋_GB2312"/>
          <w:kern w:val="0"/>
          <w:sz w:val="32"/>
          <w:szCs w:val="32"/>
        </w:rPr>
        <w:t>日至</w:t>
      </w:r>
      <w:r>
        <w:rPr>
          <w:rFonts w:hint="eastAsia" w:ascii="仿宋_GB2312" w:hAnsi="宋体" w:eastAsia="仿宋_GB2312" w:cs="仿宋_GB2312"/>
          <w:kern w:val="0"/>
          <w:sz w:val="32"/>
          <w:szCs w:val="32"/>
          <w:highlight w:val="yellow"/>
          <w:lang w:val="en-US" w:eastAsia="zh-CN"/>
        </w:rPr>
        <w:t>1</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highlight w:val="yellow"/>
          <w:lang w:val="en-US" w:eastAsia="zh-CN"/>
        </w:rPr>
        <w:t>13</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08:00—11:30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14:30—17:00</w:t>
      </w:r>
      <w:r>
        <w:rPr>
          <w:rFonts w:hint="eastAsia" w:ascii="仿宋_GB2312" w:hAnsi="宋体" w:eastAsia="仿宋_GB2312" w:cs="仿宋_GB2312"/>
          <w:kern w:val="0"/>
          <w:sz w:val="32"/>
          <w:szCs w:val="32"/>
        </w:rPr>
        <w:t>）（北京时间、节假日除外）。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（二）发售地点：广州市番禺区敏捷上城国际一期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（三）发售方式：供应商指定专人现场领取，不接受邮寄等其他方式。购买谈判文件时需提供以下材料原件及装订成册加盖单位公章的复印件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份。</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营业执照；</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税务登记证（三证合一的不需提供）；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法定代表人授权书（含法定代表人和被授权人身份证复印件）；</w:t>
      </w:r>
    </w:p>
    <w:p>
      <w:pPr>
        <w:tabs>
          <w:tab w:val="left" w:pos="0"/>
        </w:tabs>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非外资企业或外资控股企业的书面声明；</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（四）谈判文件售价：</w:t>
      </w:r>
      <w:r>
        <w:rPr>
          <w:rFonts w:ascii="仿宋_GB2312" w:hAnsi="宋体" w:eastAsia="仿宋_GB2312" w:cs="仿宋_GB2312"/>
          <w:kern w:val="0"/>
          <w:sz w:val="32"/>
          <w:szCs w:val="32"/>
        </w:rPr>
        <w:t>200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份，售后不退。</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七、报价文件递交时间、地点及方式</w:t>
      </w:r>
    </w:p>
    <w:p>
      <w:pPr>
        <w:tabs>
          <w:tab w:val="left" w:pos="0"/>
          <w:tab w:val="left" w:pos="1122"/>
        </w:tabs>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（一）报价文件递交时间：</w:t>
      </w:r>
      <w:r>
        <w:rPr>
          <w:rFonts w:hint="eastAsia" w:ascii="仿宋_GB2312" w:hAnsi="Times New Roman" w:eastAsia="仿宋_GB2312" w:cs="仿宋_GB2312"/>
          <w:kern w:val="0"/>
          <w:sz w:val="32"/>
          <w:szCs w:val="32"/>
          <w:lang w:eastAsia="zh-CN"/>
        </w:rPr>
        <w:t>2020</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highlight w:val="yellow"/>
          <w:lang w:val="en-US" w:eastAsia="zh-CN"/>
        </w:rPr>
        <w:t>1</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highlight w:val="yellow"/>
          <w:lang w:val="en-US" w:eastAsia="zh-CN"/>
        </w:rPr>
        <w:t>15</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时</w:t>
      </w:r>
      <w:r>
        <w:rPr>
          <w:rFonts w:ascii="仿宋_GB2312" w:hAnsi="宋体" w:eastAsia="仿宋_GB2312" w:cs="仿宋_GB2312"/>
          <w:kern w:val="0"/>
          <w:sz w:val="32"/>
          <w:szCs w:val="32"/>
        </w:rPr>
        <w:t>00</w:t>
      </w:r>
      <w:r>
        <w:rPr>
          <w:rFonts w:hint="eastAsia" w:ascii="仿宋_GB2312" w:hAnsi="宋体" w:eastAsia="仿宋_GB2312" w:cs="仿宋_GB2312"/>
          <w:kern w:val="0"/>
          <w:sz w:val="32"/>
          <w:szCs w:val="32"/>
        </w:rPr>
        <w:t>分</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时</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分（北京时间）。</w:t>
      </w:r>
      <w:r>
        <w:rPr>
          <w:rFonts w:hint="eastAsia" w:ascii="仿宋_GB2312" w:hAnsi="Times New Roman" w:eastAsia="仿宋_GB2312" w:cs="仿宋_GB2312"/>
          <w:kern w:val="0"/>
          <w:sz w:val="32"/>
          <w:szCs w:val="32"/>
        </w:rPr>
        <w:t>谈判报价稍后开始。</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（二）报价文件递交地点：</w:t>
      </w:r>
      <w:r>
        <w:rPr>
          <w:rFonts w:hint="eastAsia" w:ascii="仿宋_GB2312" w:hAnsi="宋体" w:eastAsia="仿宋_GB2312" w:cs="仿宋_GB2312"/>
          <w:kern w:val="0"/>
          <w:sz w:val="32"/>
          <w:szCs w:val="32"/>
        </w:rPr>
        <w:t>广州市番禺区敏捷上城国际一期</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栋</w:t>
      </w:r>
      <w:r>
        <w:rPr>
          <w:rFonts w:ascii="仿宋_GB2312" w:hAnsi="宋体" w:eastAsia="仿宋_GB2312" w:cs="仿宋_GB2312"/>
          <w:kern w:val="0"/>
          <w:sz w:val="32"/>
          <w:szCs w:val="32"/>
        </w:rPr>
        <w:t>1806</w:t>
      </w:r>
      <w:r>
        <w:rPr>
          <w:rFonts w:hint="eastAsia" w:ascii="仿宋_GB2312" w:hAnsi="宋体" w:eastAsia="仿宋_GB2312" w:cs="仿宋_GB2312"/>
          <w:kern w:val="0"/>
          <w:sz w:val="32"/>
          <w:szCs w:val="32"/>
        </w:rPr>
        <w:t>（广州宝诚招标代理咨询有限公司）</w:t>
      </w:r>
      <w:r>
        <w:rPr>
          <w:rFonts w:hint="eastAsia" w:ascii="仿宋_GB2312" w:hAnsi="Times New Roman" w:eastAsia="仿宋_GB2312" w:cs="仿宋_GB2312"/>
          <w:kern w:val="0"/>
          <w:sz w:val="32"/>
          <w:szCs w:val="32"/>
        </w:rPr>
        <w:t>。谈判报价在同一地点进行。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（三）报价方式：指定专人递交报价文件，不接受邮寄等其他方式。</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※八、本采购项目相关信息在《军队采购网》（</w:t>
      </w:r>
      <w:r>
        <w:rPr>
          <w:rFonts w:ascii="黑体" w:hAnsi="黑体" w:eastAsia="黑体" w:cs="黑体"/>
          <w:kern w:val="0"/>
          <w:sz w:val="32"/>
          <w:szCs w:val="32"/>
        </w:rPr>
        <w:t>www.plap.cn</w:t>
      </w:r>
      <w:r>
        <w:rPr>
          <w:rFonts w:hint="eastAsia" w:ascii="黑体" w:hAnsi="黑体" w:eastAsia="黑体" w:cs="黑体"/>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黑体"/>
          <w:kern w:val="0"/>
          <w:sz w:val="32"/>
          <w:szCs w:val="32"/>
        </w:rPr>
        <w:t>九、采购代理机构联系方式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联系人：广州宝诚招标代理咨询有限公司</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电话：</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传真：</w:t>
      </w:r>
      <w:r>
        <w:rPr>
          <w:rFonts w:ascii="仿宋_GB2312" w:hAnsi="Times New Roman" w:eastAsia="仿宋_GB2312" w:cs="仿宋_GB2312"/>
          <w:kern w:val="0"/>
          <w:sz w:val="32"/>
          <w:szCs w:val="32"/>
        </w:rPr>
        <w:t>020-37887429</w:t>
      </w:r>
    </w:p>
    <w:p>
      <w:pPr>
        <w:ind w:firstLine="622" w:firstLineChars="200"/>
        <w:rPr>
          <w:rFonts w:ascii="仿宋_GB2312" w:hAnsi="Times New Roman" w:eastAsia="仿宋_GB2312" w:cs="Times New Roman"/>
          <w:kern w:val="0"/>
          <w:sz w:val="32"/>
          <w:szCs w:val="32"/>
          <w:u w:val="single"/>
        </w:rPr>
      </w:pPr>
      <w:r>
        <w:rPr>
          <w:rFonts w:hint="eastAsia" w:ascii="仿宋_GB2312" w:hAnsi="Times New Roman" w:eastAsia="仿宋_GB2312" w:cs="仿宋_GB2312"/>
          <w:kern w:val="0"/>
          <w:sz w:val="32"/>
          <w:szCs w:val="32"/>
        </w:rPr>
        <w:t>地址：</w:t>
      </w:r>
      <w:r>
        <w:rPr>
          <w:rFonts w:hint="eastAsia" w:ascii="仿宋_GB2312" w:hAnsi="Times New Roman" w:eastAsia="仿宋_GB2312" w:cs="仿宋_GB2312"/>
          <w:kern w:val="0"/>
          <w:sz w:val="32"/>
          <w:szCs w:val="32"/>
          <w:u w:val="single"/>
        </w:rPr>
        <w:t>广州市番禺区敏捷上城国际一期</w:t>
      </w:r>
      <w:r>
        <w:rPr>
          <w:rFonts w:ascii="仿宋_GB2312" w:hAnsi="Times New Roman" w:eastAsia="仿宋_GB2312" w:cs="仿宋_GB2312"/>
          <w:kern w:val="0"/>
          <w:sz w:val="32"/>
          <w:szCs w:val="32"/>
          <w:u w:val="single"/>
        </w:rPr>
        <w:t>2</w:t>
      </w:r>
      <w:r>
        <w:rPr>
          <w:rFonts w:hint="eastAsia" w:ascii="仿宋_GB2312" w:hAnsi="Times New Roman" w:eastAsia="仿宋_GB2312" w:cs="仿宋_GB2312"/>
          <w:kern w:val="0"/>
          <w:sz w:val="32"/>
          <w:szCs w:val="32"/>
          <w:u w:val="single"/>
        </w:rPr>
        <w:t>栋</w:t>
      </w:r>
      <w:r>
        <w:rPr>
          <w:rFonts w:ascii="仿宋_GB2312" w:hAnsi="Times New Roman" w:eastAsia="仿宋_GB2312" w:cs="仿宋_GB2312"/>
          <w:kern w:val="0"/>
          <w:sz w:val="32"/>
          <w:szCs w:val="32"/>
          <w:u w:val="single"/>
        </w:rPr>
        <w:t>1806</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邮政编码：</w:t>
      </w:r>
      <w:r>
        <w:rPr>
          <w:rFonts w:ascii="仿宋_GB2312" w:hAnsi="Times New Roman" w:eastAsia="仿宋_GB2312" w:cs="仿宋_GB2312"/>
          <w:kern w:val="0"/>
          <w:sz w:val="32"/>
          <w:szCs w:val="32"/>
        </w:rPr>
        <w:t>511400</w:t>
      </w:r>
    </w:p>
    <w:p>
      <w:pPr>
        <w:rPr>
          <w:rFonts w:ascii="仿宋_GB2312" w:hAnsi="Times New Roman" w:eastAsia="仿宋_GB2312" w:cs="Times New Roman"/>
          <w:kern w:val="0"/>
          <w:sz w:val="32"/>
          <w:szCs w:val="32"/>
        </w:rPr>
      </w:pPr>
    </w:p>
    <w:p>
      <w:pPr>
        <w:jc w:val="right"/>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w:t>
      </w:r>
      <w:r>
        <w:rPr>
          <w:rFonts w:hint="eastAsia" w:ascii="仿宋_GB2312" w:hAnsi="Times New Roman" w:eastAsia="仿宋_GB2312" w:cs="仿宋_GB2312"/>
          <w:kern w:val="0"/>
          <w:sz w:val="32"/>
          <w:szCs w:val="32"/>
          <w:u w:val="single"/>
        </w:rPr>
        <w:t>中国人民解放军</w:t>
      </w:r>
      <w:r>
        <w:rPr>
          <w:rFonts w:hint="eastAsia" w:ascii="仿宋_GB2312" w:hAnsi="Times New Roman" w:eastAsia="仿宋_GB2312" w:cs="仿宋_GB2312"/>
          <w:kern w:val="0"/>
          <w:sz w:val="32"/>
          <w:szCs w:val="32"/>
          <w:u w:val="single"/>
          <w:lang w:val="en-US" w:eastAsia="zh-CN"/>
        </w:rPr>
        <w:t>第七十四军集团军</w:t>
      </w:r>
      <w:r>
        <w:rPr>
          <w:rFonts w:hint="eastAsia" w:ascii="仿宋_GB2312" w:hAnsi="Times New Roman" w:eastAsia="仿宋_GB2312" w:cs="仿宋_GB2312"/>
          <w:kern w:val="0"/>
          <w:sz w:val="32"/>
          <w:szCs w:val="32"/>
          <w:u w:val="single"/>
        </w:rPr>
        <w:t>医院</w:t>
      </w:r>
      <w:r>
        <w:rPr>
          <w:rFonts w:hint="eastAsia" w:ascii="仿宋_GB2312" w:hAnsi="Times New Roman" w:eastAsia="仿宋_GB2312" w:cs="仿宋_GB2312"/>
          <w:kern w:val="0"/>
          <w:sz w:val="32"/>
          <w:szCs w:val="32"/>
        </w:rPr>
        <w:t>）</w:t>
      </w:r>
    </w:p>
    <w:p>
      <w:pPr>
        <w:ind w:firstLine="4578" w:firstLineChars="147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lang w:eastAsia="zh-CN"/>
        </w:rPr>
        <w:t>2020</w:t>
      </w:r>
      <w:r>
        <w:rPr>
          <w:rFonts w:hint="eastAsia" w:ascii="仿宋_GB2312" w:hAnsi="Times New Roman" w:eastAsia="仿宋_GB2312" w:cs="仿宋_GB2312"/>
          <w:kern w:val="0"/>
          <w:sz w:val="32"/>
          <w:szCs w:val="32"/>
        </w:rPr>
        <w:t>年</w:t>
      </w:r>
      <w:r>
        <w:rPr>
          <w:rFonts w:hint="eastAsia" w:ascii="仿宋_GB2312" w:hAnsi="Times New Roman" w:eastAsia="仿宋_GB2312" w:cs="仿宋_GB2312"/>
          <w:kern w:val="0"/>
          <w:sz w:val="32"/>
          <w:szCs w:val="32"/>
          <w:lang w:val="en-US" w:eastAsia="zh-CN"/>
        </w:rPr>
        <w:t xml:space="preserve"> 1</w:t>
      </w:r>
      <w:r>
        <w:rPr>
          <w:rFonts w:hint="eastAsia" w:ascii="仿宋_GB2312" w:hAnsi="Times New Roman" w:eastAsia="仿宋_GB2312" w:cs="仿宋_GB2312"/>
          <w:kern w:val="0"/>
          <w:sz w:val="32"/>
          <w:szCs w:val="32"/>
        </w:rPr>
        <w:t>月</w:t>
      </w:r>
      <w:r>
        <w:rPr>
          <w:rFonts w:hint="eastAsia" w:ascii="仿宋_GB2312" w:hAnsi="Times New Roman" w:eastAsia="仿宋_GB2312" w:cs="仿宋_GB2312"/>
          <w:kern w:val="0"/>
          <w:sz w:val="32"/>
          <w:szCs w:val="32"/>
          <w:lang w:val="en-US" w:eastAsia="zh-CN"/>
        </w:rPr>
        <w:t xml:space="preserve"> 10</w:t>
      </w:r>
      <w:r>
        <w:rPr>
          <w:rFonts w:hint="eastAsia" w:ascii="仿宋_GB2312" w:hAnsi="Times New Roman" w:eastAsia="仿宋_GB2312" w:cs="仿宋_GB2312"/>
          <w:kern w:val="0"/>
          <w:sz w:val="32"/>
          <w:szCs w:val="32"/>
        </w:rPr>
        <w:t>日</w:t>
      </w:r>
    </w:p>
    <w:p>
      <w:pPr>
        <w:autoSpaceDE w:val="0"/>
        <w:autoSpaceDN w:val="0"/>
        <w:adjustRightInd w:val="0"/>
        <w:rPr>
          <w:rFonts w:ascii="仿宋_GB2312" w:hAnsi="Times New Roman" w:eastAsia="仿宋_GB2312" w:cs="Times New Roman"/>
          <w:kern w:val="0"/>
          <w:sz w:val="32"/>
          <w:szCs w:val="32"/>
        </w:rPr>
        <w:sectPr>
          <w:headerReference r:id="rId3" w:type="default"/>
          <w:footerReference r:id="rId4" w:type="default"/>
          <w:pgSz w:w="11906" w:h="16838"/>
          <w:pgMar w:top="2098" w:right="1474" w:bottom="1985" w:left="1588" w:header="851" w:footer="851" w:gutter="0"/>
          <w:pgNumType w:start="1"/>
          <w:cols w:space="425" w:num="1"/>
          <w:docGrid w:type="linesAndChars" w:linePitch="579" w:charSpace="-1844"/>
        </w:sect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bookmarkStart w:id="3" w:name="_Toc435540979"/>
      <w:bookmarkStart w:id="4" w:name="_Toc285612594"/>
      <w:bookmarkStart w:id="5" w:name="_Toc390713967"/>
    </w:p>
    <w:p>
      <w:pPr>
        <w:autoSpaceDE w:val="0"/>
        <w:autoSpaceDN w:val="0"/>
        <w:adjustRightInd w:val="0"/>
        <w:spacing w:line="560" w:lineRule="exact"/>
        <w:jc w:val="center"/>
        <w:rPr>
          <w:rFonts w:ascii="方正小标宋简体" w:hAnsi="Times New Roman" w:eastAsia="方正小标宋简体" w:cs="Times New Roman"/>
          <w:kern w:val="0"/>
          <w:sz w:val="44"/>
          <w:szCs w:val="44"/>
          <w:lang w:val="zh-CN"/>
        </w:rPr>
      </w:pPr>
      <w:r>
        <w:rPr>
          <w:rFonts w:hint="eastAsia" w:ascii="方正小标宋简体" w:hAnsi="Times New Roman" w:eastAsia="方正小标宋简体" w:cs="方正小标宋简体"/>
          <w:kern w:val="0"/>
          <w:sz w:val="44"/>
          <w:szCs w:val="44"/>
          <w:lang w:val="zh-CN"/>
        </w:rPr>
        <w:t>第二部分</w:t>
      </w:r>
      <w:bookmarkEnd w:id="3"/>
      <w:bookmarkEnd w:id="4"/>
      <w:bookmarkEnd w:id="5"/>
      <w:r>
        <w:rPr>
          <w:rFonts w:hint="eastAsia" w:ascii="方正小标宋简体" w:hAnsi="Times New Roman" w:eastAsia="方正小标宋简体" w:cs="方正小标宋简体"/>
          <w:kern w:val="0"/>
          <w:sz w:val="44"/>
          <w:szCs w:val="44"/>
          <w:lang w:val="zh-CN"/>
        </w:rPr>
        <w:t>货物一览表及技术、服务要求</w:t>
      </w:r>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autoSpaceDE w:val="0"/>
        <w:autoSpaceDN w:val="0"/>
        <w:adjustRightInd w:val="0"/>
        <w:ind w:firstLine="136" w:firstLineChars="50"/>
        <w:outlineLvl w:val="0"/>
        <w:rPr>
          <w:rFonts w:ascii="黑体" w:hAnsi="宋体" w:eastAsia="黑体" w:cs="宋体"/>
          <w:sz w:val="28"/>
          <w:szCs w:val="28"/>
          <w:lang w:val="zh-CN"/>
        </w:rPr>
      </w:pPr>
      <w:bookmarkStart w:id="6" w:name="_Toc240432230"/>
      <w:bookmarkStart w:id="7" w:name="_Toc390713968"/>
      <w:bookmarkStart w:id="8" w:name="_Toc285612601"/>
      <w:bookmarkStart w:id="9" w:name="_Toc435540980"/>
      <w:r>
        <w:rPr>
          <w:rFonts w:hint="eastAsia" w:ascii="黑体" w:hAnsi="宋体" w:eastAsia="黑体" w:cs="宋体"/>
          <w:sz w:val="28"/>
          <w:szCs w:val="28"/>
          <w:lang w:val="zh-CN"/>
        </w:rPr>
        <w:t>一、货物一览表</w:t>
      </w:r>
    </w:p>
    <w:tbl>
      <w:tblPr>
        <w:tblStyle w:val="17"/>
        <w:tblW w:w="11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95"/>
        <w:gridCol w:w="870"/>
        <w:gridCol w:w="1444"/>
        <w:gridCol w:w="19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2518" w:type="dxa"/>
            <w:shd w:val="clear" w:color="auto" w:fill="EEECE1"/>
            <w:noWrap w:val="0"/>
            <w:vAlign w:val="center"/>
          </w:tcPr>
          <w:p>
            <w:pPr>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eastAsia="zh-CN"/>
              </w:rPr>
              <w:t>项目</w:t>
            </w:r>
            <w:r>
              <w:rPr>
                <w:rFonts w:hint="eastAsia" w:ascii="微软雅黑" w:hAnsi="微软雅黑" w:eastAsia="微软雅黑" w:cs="微软雅黑"/>
                <w:b/>
                <w:sz w:val="21"/>
                <w:szCs w:val="21"/>
              </w:rPr>
              <w:t>内容</w:t>
            </w:r>
          </w:p>
        </w:tc>
        <w:tc>
          <w:tcPr>
            <w:tcW w:w="2595" w:type="dxa"/>
            <w:shd w:val="clear" w:color="auto" w:fill="EEECE1"/>
            <w:noWrap w:val="0"/>
            <w:vAlign w:val="center"/>
          </w:tcPr>
          <w:p>
            <w:pPr>
              <w:jc w:val="center"/>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品牌</w:t>
            </w:r>
          </w:p>
        </w:tc>
        <w:tc>
          <w:tcPr>
            <w:tcW w:w="870" w:type="dxa"/>
            <w:shd w:val="clear" w:color="auto" w:fill="EEECE1"/>
            <w:noWrap w:val="0"/>
            <w:vAlign w:val="center"/>
          </w:tcPr>
          <w:p>
            <w:pPr>
              <w:jc w:val="both"/>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单位</w:t>
            </w:r>
          </w:p>
        </w:tc>
        <w:tc>
          <w:tcPr>
            <w:tcW w:w="1444" w:type="dxa"/>
            <w:shd w:val="clear" w:color="auto" w:fill="EEECE1"/>
            <w:noWrap w:val="0"/>
            <w:vAlign w:val="center"/>
          </w:tcPr>
          <w:p>
            <w:pPr>
              <w:jc w:val="center"/>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数量</w:t>
            </w:r>
          </w:p>
        </w:tc>
        <w:tc>
          <w:tcPr>
            <w:tcW w:w="1900" w:type="dxa"/>
            <w:shd w:val="clear" w:color="auto" w:fill="EEECE1"/>
            <w:noWrap w:val="0"/>
            <w:vAlign w:val="center"/>
          </w:tcPr>
          <w:p>
            <w:pPr>
              <w:jc w:val="center"/>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eastAsia="zh-CN"/>
              </w:rPr>
              <w:t>交货期限</w:t>
            </w:r>
          </w:p>
        </w:tc>
        <w:tc>
          <w:tcPr>
            <w:tcW w:w="1900" w:type="dxa"/>
            <w:shd w:val="clear" w:color="auto" w:fill="EEECE1"/>
            <w:noWrap w:val="0"/>
            <w:vAlign w:val="center"/>
          </w:tcPr>
          <w:p>
            <w:pPr>
              <w:jc w:val="center"/>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18" w:type="dxa"/>
            <w:noWrap w:val="0"/>
            <w:vAlign w:val="center"/>
          </w:tcPr>
          <w:p>
            <w:pPr>
              <w:jc w:val="both"/>
              <w:rPr>
                <w:rFonts w:hint="eastAsia" w:ascii="微软雅黑" w:hAnsi="微软雅黑" w:eastAsia="微软雅黑" w:cs="微软雅黑"/>
                <w:bCs/>
                <w:sz w:val="21"/>
                <w:szCs w:val="21"/>
              </w:rPr>
            </w:pPr>
            <w:r>
              <w:rPr>
                <w:rFonts w:hint="eastAsia" w:ascii="微软雅黑" w:hAnsi="微软雅黑" w:eastAsia="微软雅黑" w:cs="微软雅黑"/>
                <w:bCs/>
                <w:color w:val="000000"/>
                <w:sz w:val="21"/>
                <w:szCs w:val="21"/>
              </w:rPr>
              <w:t>P2.0全彩LED显示屏</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洲明</w:t>
            </w:r>
          </w:p>
        </w:tc>
        <w:tc>
          <w:tcPr>
            <w:tcW w:w="870" w:type="dxa"/>
            <w:noWrap w:val="0"/>
            <w:vAlign w:val="center"/>
          </w:tcPr>
          <w:p>
            <w:pPr>
              <w:pStyle w:val="49"/>
              <w:spacing w:line="240" w:lineRule="auto"/>
              <w:ind w:hanging="67"/>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color w:val="000000"/>
                <w:sz w:val="21"/>
                <w:szCs w:val="21"/>
              </w:rPr>
              <w:t>m</w:t>
            </w:r>
            <w:r>
              <w:rPr>
                <w:rFonts w:hint="eastAsia" w:ascii="微软雅黑" w:hAnsi="微软雅黑" w:eastAsia="微软雅黑" w:cs="微软雅黑"/>
                <w:color w:val="000000"/>
                <w:sz w:val="21"/>
                <w:szCs w:val="21"/>
                <w:vertAlign w:val="superscript"/>
              </w:rPr>
              <w:t>2</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rPr>
            </w:pPr>
            <w:r>
              <w:rPr>
                <w:rFonts w:hint="eastAsia" w:ascii="微软雅黑" w:hAnsi="微软雅黑" w:eastAsia="微软雅黑" w:cs="微软雅黑"/>
                <w:color w:val="000000"/>
                <w:sz w:val="21"/>
                <w:szCs w:val="21"/>
                <w:lang w:val="en-US" w:eastAsia="zh-CN"/>
              </w:rPr>
              <w:t>5.57</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18" w:type="dxa"/>
            <w:noWrap w:val="0"/>
            <w:vAlign w:val="center"/>
          </w:tcPr>
          <w:p>
            <w:pPr>
              <w:jc w:val="both"/>
              <w:rPr>
                <w:rFonts w:hint="eastAsia" w:ascii="微软雅黑" w:hAnsi="微软雅黑" w:eastAsia="微软雅黑" w:cs="微软雅黑"/>
                <w:bCs/>
                <w:sz w:val="21"/>
                <w:szCs w:val="21"/>
              </w:rPr>
            </w:pPr>
            <w:r>
              <w:rPr>
                <w:rFonts w:hint="eastAsia" w:ascii="微软雅黑" w:hAnsi="微软雅黑" w:eastAsia="微软雅黑" w:cs="微软雅黑"/>
                <w:bCs/>
                <w:color w:val="000000"/>
                <w:sz w:val="21"/>
                <w:szCs w:val="21"/>
              </w:rPr>
              <w:t>P</w:t>
            </w:r>
            <w:r>
              <w:rPr>
                <w:rFonts w:hint="eastAsia" w:ascii="微软雅黑" w:hAnsi="微软雅黑" w:eastAsia="微软雅黑" w:cs="微软雅黑"/>
                <w:bCs/>
                <w:color w:val="000000"/>
                <w:sz w:val="21"/>
                <w:szCs w:val="21"/>
                <w:lang w:val="en-US" w:eastAsia="zh-CN"/>
              </w:rPr>
              <w:t>4</w:t>
            </w:r>
            <w:r>
              <w:rPr>
                <w:rFonts w:hint="eastAsia" w:ascii="微软雅黑" w:hAnsi="微软雅黑" w:eastAsia="微软雅黑" w:cs="微软雅黑"/>
                <w:bCs/>
                <w:color w:val="000000"/>
                <w:sz w:val="21"/>
                <w:szCs w:val="21"/>
              </w:rPr>
              <w:t>.0全彩LED显示屏</w:t>
            </w:r>
          </w:p>
        </w:tc>
        <w:tc>
          <w:tcPr>
            <w:tcW w:w="2595" w:type="dxa"/>
            <w:noWrap w:val="0"/>
            <w:vAlign w:val="center"/>
          </w:tcPr>
          <w:p>
            <w:pPr>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lang w:eastAsia="zh-CN"/>
              </w:rPr>
              <w:t>洲明</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m</w:t>
            </w:r>
            <w:r>
              <w:rPr>
                <w:rFonts w:hint="eastAsia" w:ascii="微软雅黑" w:hAnsi="微软雅黑" w:eastAsia="微软雅黑" w:cs="微软雅黑"/>
                <w:color w:val="000000"/>
                <w:sz w:val="21"/>
                <w:szCs w:val="21"/>
                <w:vertAlign w:val="superscript"/>
              </w:rPr>
              <w:t>2</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rPr>
            </w:pPr>
            <w:r>
              <w:rPr>
                <w:rFonts w:hint="eastAsia" w:ascii="微软雅黑" w:hAnsi="微软雅黑" w:eastAsia="微软雅黑" w:cs="微软雅黑"/>
                <w:bCs/>
                <w:color w:val="000000"/>
                <w:sz w:val="21"/>
                <w:szCs w:val="21"/>
                <w:lang w:val="en-US" w:eastAsia="zh-CN"/>
              </w:rPr>
              <w:t>8.2</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2518"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开关电源</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三仕</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台</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65</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518"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发送卡</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三仕</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张</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6</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2518" w:type="dxa"/>
            <w:noWrap w:val="0"/>
            <w:vAlign w:val="center"/>
          </w:tcPr>
          <w:p>
            <w:pPr>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视频处理器</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rPr>
              <w:t>视睿讯</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套</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2</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18" w:type="dxa"/>
            <w:noWrap w:val="0"/>
            <w:vAlign w:val="center"/>
          </w:tcPr>
          <w:p>
            <w:pPr>
              <w:jc w:val="center"/>
              <w:rPr>
                <w:rFonts w:hint="eastAsia" w:ascii="微软雅黑" w:hAnsi="微软雅黑" w:eastAsia="微软雅黑" w:cs="微软雅黑"/>
                <w:color w:val="000000"/>
                <w:kern w:val="0"/>
                <w:sz w:val="21"/>
                <w:szCs w:val="21"/>
                <w:lang w:eastAsia="zh-CN" w:bidi="ar"/>
              </w:rPr>
            </w:pPr>
            <w:r>
              <w:rPr>
                <w:rFonts w:hint="eastAsia" w:ascii="微软雅黑" w:hAnsi="微软雅黑" w:eastAsia="微软雅黑" w:cs="微软雅黑"/>
                <w:color w:val="000000"/>
                <w:kern w:val="0"/>
                <w:sz w:val="21"/>
                <w:szCs w:val="21"/>
                <w:lang w:eastAsia="zh-CN" w:bidi="ar"/>
              </w:rPr>
              <w:t>钢结构</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定制</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项</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2</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518" w:type="dxa"/>
            <w:noWrap w:val="0"/>
            <w:vAlign w:val="center"/>
          </w:tcPr>
          <w:p>
            <w:pPr>
              <w:jc w:val="center"/>
              <w:rPr>
                <w:rFonts w:hint="eastAsia" w:ascii="微软雅黑" w:hAnsi="微软雅黑" w:eastAsia="微软雅黑" w:cs="微软雅黑"/>
                <w:color w:val="000000"/>
                <w:kern w:val="0"/>
                <w:sz w:val="21"/>
                <w:szCs w:val="21"/>
                <w:lang w:eastAsia="zh-CN" w:bidi="ar"/>
              </w:rPr>
            </w:pPr>
            <w:r>
              <w:rPr>
                <w:rFonts w:hint="eastAsia" w:ascii="微软雅黑" w:hAnsi="微软雅黑" w:eastAsia="微软雅黑" w:cs="微软雅黑"/>
                <w:color w:val="000000"/>
                <w:kern w:val="0"/>
                <w:sz w:val="21"/>
                <w:szCs w:val="21"/>
                <w:lang w:eastAsia="zh-CN" w:bidi="ar"/>
              </w:rPr>
              <w:t>配电箱</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定制</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项</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2</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2518" w:type="dxa"/>
            <w:noWrap w:val="0"/>
            <w:vAlign w:val="center"/>
          </w:tcPr>
          <w:p>
            <w:pPr>
              <w:jc w:val="center"/>
              <w:rPr>
                <w:rFonts w:hint="eastAsia" w:ascii="微软雅黑" w:hAnsi="微软雅黑" w:eastAsia="微软雅黑" w:cs="微软雅黑"/>
                <w:color w:val="000000"/>
                <w:kern w:val="0"/>
                <w:sz w:val="21"/>
                <w:szCs w:val="21"/>
                <w:lang w:eastAsia="zh-CN" w:bidi="ar"/>
              </w:rPr>
            </w:pPr>
            <w:r>
              <w:rPr>
                <w:rFonts w:hint="eastAsia" w:ascii="微软雅黑" w:hAnsi="微软雅黑" w:eastAsia="微软雅黑" w:cs="微软雅黑"/>
                <w:color w:val="000000"/>
                <w:kern w:val="0"/>
                <w:sz w:val="21"/>
                <w:szCs w:val="21"/>
                <w:lang w:eastAsia="zh-CN" w:bidi="ar"/>
              </w:rPr>
              <w:t>墙面修复</w:t>
            </w:r>
          </w:p>
        </w:tc>
        <w:tc>
          <w:tcPr>
            <w:tcW w:w="2595" w:type="dxa"/>
            <w:noWrap w:val="0"/>
            <w:vAlign w:val="center"/>
          </w:tcPr>
          <w:p>
            <w:pPr>
              <w:jc w:val="center"/>
              <w:rPr>
                <w:rFonts w:hint="eastAsia" w:ascii="微软雅黑" w:hAnsi="微软雅黑" w:eastAsia="微软雅黑" w:cs="微软雅黑"/>
                <w:bCs/>
                <w:sz w:val="21"/>
                <w:szCs w:val="21"/>
                <w:lang w:eastAsia="zh-CN"/>
              </w:rPr>
            </w:pPr>
            <w:r>
              <w:rPr>
                <w:rFonts w:hint="eastAsia" w:ascii="微软雅黑" w:hAnsi="微软雅黑" w:eastAsia="微软雅黑" w:cs="微软雅黑"/>
                <w:bCs/>
                <w:sz w:val="21"/>
                <w:szCs w:val="21"/>
                <w:lang w:eastAsia="zh-CN"/>
              </w:rPr>
              <w:t>服务</w:t>
            </w:r>
          </w:p>
        </w:tc>
        <w:tc>
          <w:tcPr>
            <w:tcW w:w="870" w:type="dxa"/>
            <w:noWrap w:val="0"/>
            <w:vAlign w:val="center"/>
          </w:tcPr>
          <w:p>
            <w:pPr>
              <w:pStyle w:val="49"/>
              <w:spacing w:line="240" w:lineRule="auto"/>
              <w:ind w:hanging="6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项</w:t>
            </w:r>
          </w:p>
        </w:tc>
        <w:tc>
          <w:tcPr>
            <w:tcW w:w="1444"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snapToGrid/>
                <w:spacing w:val="0"/>
                <w:kern w:val="2"/>
                <w:sz w:val="21"/>
                <w:szCs w:val="21"/>
                <w:lang w:val="en-US" w:eastAsia="zh-CN"/>
              </w:rPr>
              <w:t>2</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r>
              <w:rPr>
                <w:rFonts w:hint="eastAsia" w:ascii="微软雅黑" w:hAnsi="微软雅黑" w:eastAsia="微软雅黑" w:cs="微软雅黑"/>
                <w:snapToGrid/>
                <w:spacing w:val="0"/>
                <w:kern w:val="2"/>
                <w:sz w:val="21"/>
                <w:szCs w:val="21"/>
                <w:lang w:val="en-US" w:eastAsia="zh-CN"/>
              </w:rPr>
              <w:t>5天</w:t>
            </w:r>
          </w:p>
        </w:tc>
        <w:tc>
          <w:tcPr>
            <w:tcW w:w="1900" w:type="dxa"/>
            <w:noWrap w:val="0"/>
            <w:vAlign w:val="center"/>
          </w:tcPr>
          <w:p>
            <w:pPr>
              <w:pStyle w:val="49"/>
              <w:spacing w:line="240" w:lineRule="auto"/>
              <w:ind w:firstLine="120"/>
              <w:rPr>
                <w:rFonts w:hint="eastAsia" w:ascii="微软雅黑" w:hAnsi="微软雅黑" w:eastAsia="微软雅黑" w:cs="微软雅黑"/>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327" w:type="dxa"/>
            <w:gridSpan w:val="5"/>
            <w:noWrap w:val="0"/>
            <w:vAlign w:val="center"/>
          </w:tcPr>
          <w:p>
            <w:pPr>
              <w:pStyle w:val="49"/>
              <w:spacing w:line="240" w:lineRule="auto"/>
              <w:ind w:firstLine="120"/>
              <w:jc w:val="both"/>
              <w:rPr>
                <w:rFonts w:hint="eastAsia" w:ascii="微软雅黑" w:hAnsi="微软雅黑" w:eastAsia="微软雅黑" w:cs="微软雅黑"/>
                <w:snapToGrid/>
                <w:spacing w:val="0"/>
                <w:kern w:val="2"/>
                <w:sz w:val="21"/>
                <w:szCs w:val="21"/>
                <w:lang w:val="en-US" w:eastAsia="zh-CN"/>
              </w:rPr>
            </w:pPr>
            <w:r>
              <w:rPr>
                <w:rFonts w:hint="eastAsia" w:ascii="微软雅黑" w:hAnsi="微软雅黑" w:eastAsia="微软雅黑" w:cs="微软雅黑"/>
                <w:b/>
                <w:bCs/>
                <w:snapToGrid/>
                <w:spacing w:val="0"/>
                <w:kern w:val="2"/>
                <w:sz w:val="21"/>
                <w:szCs w:val="21"/>
                <w:lang w:val="en-US" w:eastAsia="zh-CN"/>
              </w:rPr>
              <w:t>备注：</w:t>
            </w:r>
            <w:r>
              <w:rPr>
                <w:rFonts w:hint="eastAsia" w:ascii="微软雅黑" w:hAnsi="微软雅黑" w:eastAsia="微软雅黑" w:cs="微软雅黑"/>
                <w:snapToGrid/>
                <w:spacing w:val="0"/>
                <w:kern w:val="2"/>
                <w:sz w:val="21"/>
                <w:szCs w:val="21"/>
                <w:lang w:val="en-US" w:eastAsia="zh-CN"/>
              </w:rPr>
              <w:t>包含所有设备安装、固定、户外防水处理、箱体，联入供电系统及机房主机，以及旧电路调整和新电路布线；高空作业；运费、税费。</w:t>
            </w:r>
          </w:p>
        </w:tc>
        <w:tc>
          <w:tcPr>
            <w:tcW w:w="1900" w:type="dxa"/>
            <w:noWrap w:val="0"/>
            <w:vAlign w:val="center"/>
          </w:tcPr>
          <w:p>
            <w:pPr>
              <w:pStyle w:val="49"/>
              <w:spacing w:line="240" w:lineRule="auto"/>
              <w:ind w:firstLine="120"/>
              <w:rPr>
                <w:rFonts w:hint="eastAsia" w:ascii="微软雅黑" w:hAnsi="微软雅黑" w:eastAsia="微软雅黑" w:cs="微软雅黑"/>
                <w:b/>
                <w:bCs/>
                <w:snapToGrid/>
                <w:spacing w:val="0"/>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327" w:type="dxa"/>
            <w:gridSpan w:val="5"/>
            <w:noWrap w:val="0"/>
            <w:vAlign w:val="center"/>
          </w:tcPr>
          <w:p>
            <w:pPr>
              <w:pStyle w:val="49"/>
              <w:spacing w:line="240" w:lineRule="auto"/>
              <w:ind w:firstLine="120"/>
              <w:rPr>
                <w:rFonts w:hint="eastAsia" w:ascii="微软雅黑" w:hAnsi="微软雅黑" w:eastAsia="微软雅黑" w:cs="微软雅黑"/>
                <w:b/>
                <w:bCs/>
                <w:snapToGrid/>
                <w:spacing w:val="0"/>
                <w:kern w:val="2"/>
                <w:sz w:val="21"/>
                <w:szCs w:val="21"/>
                <w:lang w:val="en-US" w:eastAsia="zh-CN"/>
              </w:rPr>
            </w:pPr>
            <w:r>
              <w:rPr>
                <w:rFonts w:hint="eastAsia" w:ascii="微软雅黑" w:hAnsi="微软雅黑" w:eastAsia="微软雅黑" w:cs="微软雅黑"/>
                <w:b/>
                <w:bCs/>
                <w:snapToGrid/>
                <w:spacing w:val="0"/>
                <w:kern w:val="2"/>
                <w:sz w:val="21"/>
                <w:szCs w:val="21"/>
                <w:lang w:val="en-US" w:eastAsia="zh-CN"/>
              </w:rPr>
              <w:t>总控制价295000.00元</w:t>
            </w:r>
          </w:p>
        </w:tc>
        <w:tc>
          <w:tcPr>
            <w:tcW w:w="1900" w:type="dxa"/>
            <w:noWrap w:val="0"/>
            <w:vAlign w:val="center"/>
          </w:tcPr>
          <w:p>
            <w:pPr>
              <w:pStyle w:val="49"/>
              <w:spacing w:line="240" w:lineRule="auto"/>
              <w:ind w:firstLine="120"/>
              <w:rPr>
                <w:rFonts w:hint="eastAsia" w:ascii="微软雅黑" w:hAnsi="微软雅黑" w:eastAsia="微软雅黑" w:cs="微软雅黑"/>
                <w:b/>
                <w:bCs/>
                <w:snapToGrid/>
                <w:spacing w:val="0"/>
                <w:kern w:val="2"/>
                <w:sz w:val="21"/>
                <w:szCs w:val="21"/>
                <w:lang w:val="en-US" w:eastAsia="zh-CN"/>
              </w:rPr>
            </w:pPr>
          </w:p>
        </w:tc>
      </w:tr>
    </w:tbl>
    <w:p>
      <w:pPr>
        <w:autoSpaceDE w:val="0"/>
        <w:autoSpaceDN w:val="0"/>
        <w:adjustRightInd w:val="0"/>
        <w:outlineLvl w:val="0"/>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tbl>
      <w:tblPr>
        <w:tblStyle w:val="17"/>
        <w:tblW w:w="9276" w:type="dxa"/>
        <w:tblInd w:w="0" w:type="dxa"/>
        <w:tblLayout w:type="fixed"/>
        <w:tblCellMar>
          <w:top w:w="15" w:type="dxa"/>
          <w:left w:w="15" w:type="dxa"/>
          <w:bottom w:w="15" w:type="dxa"/>
          <w:right w:w="15" w:type="dxa"/>
        </w:tblCellMar>
      </w:tblPr>
      <w:tblGrid>
        <w:gridCol w:w="562"/>
        <w:gridCol w:w="1447"/>
        <w:gridCol w:w="2940"/>
        <w:gridCol w:w="4327"/>
      </w:tblGrid>
      <w:tr>
        <w:tblPrEx>
          <w:tblCellMar>
            <w:top w:w="15" w:type="dxa"/>
            <w:left w:w="15" w:type="dxa"/>
            <w:bottom w:w="15" w:type="dxa"/>
            <w:right w:w="15" w:type="dxa"/>
          </w:tblCellMar>
        </w:tblPrEx>
        <w:trPr>
          <w:trHeight w:val="405" w:hRule="atLeast"/>
        </w:trPr>
        <w:tc>
          <w:tcPr>
            <w:tcW w:w="927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微软雅黑" w:hAnsi="微软雅黑" w:eastAsia="微软雅黑" w:cs="微软雅黑"/>
                <w:color w:val="000000"/>
                <w:sz w:val="18"/>
                <w:szCs w:val="18"/>
                <w:lang w:val="en-US" w:eastAsia="zh-CN"/>
              </w:rPr>
            </w:pPr>
            <w:r>
              <w:rPr>
                <w:rFonts w:hint="eastAsia" w:ascii="仿宋_GB2312" w:hAnsi="宋体" w:eastAsia="仿宋_GB2312" w:cs="仿宋_GB2312"/>
                <w:kern w:val="0"/>
                <w:sz w:val="32"/>
                <w:szCs w:val="32"/>
              </w:rPr>
              <w:t>★</w:t>
            </w:r>
            <w:r>
              <w:rPr>
                <w:rFonts w:hint="eastAsia" w:ascii="微软雅黑" w:hAnsi="微软雅黑" w:eastAsia="微软雅黑" w:cs="微软雅黑"/>
                <w:color w:val="000000"/>
                <w:sz w:val="18"/>
                <w:szCs w:val="18"/>
                <w:lang w:eastAsia="zh-CN"/>
              </w:rPr>
              <w:t>户外</w:t>
            </w:r>
            <w:r>
              <w:rPr>
                <w:rFonts w:hint="eastAsia" w:ascii="微软雅黑" w:hAnsi="微软雅黑" w:eastAsia="微软雅黑" w:cs="微软雅黑"/>
                <w:color w:val="000000"/>
                <w:sz w:val="18"/>
                <w:szCs w:val="18"/>
                <w:lang w:val="en-US" w:eastAsia="zh-CN"/>
              </w:rPr>
              <w:t>P4全彩主要技术性能参数表</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品名</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eastAsia="zh-CN"/>
              </w:rPr>
              <w:t>技术</w:t>
            </w:r>
            <w:r>
              <w:rPr>
                <w:rFonts w:hint="eastAsia" w:ascii="微软雅黑" w:hAnsi="微软雅黑" w:eastAsia="微软雅黑" w:cs="微软雅黑"/>
                <w:color w:val="000000"/>
                <w:sz w:val="18"/>
                <w:szCs w:val="18"/>
              </w:rPr>
              <w:t>参数</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执行标准</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sz w:val="18"/>
                <w:szCs w:val="18"/>
                <w:lang w:eastAsia="zh-CN"/>
              </w:rPr>
              <w:t>像素管</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像素点间距</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val="en-US" w:eastAsia="zh-CN"/>
              </w:rPr>
              <w:t>4mm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封装品牌</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国星金线</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基色</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eastAsia="zh-CN"/>
              </w:rPr>
              <w:t>红色</w:t>
            </w:r>
            <w:r>
              <w:rPr>
                <w:rFonts w:hint="eastAsia" w:ascii="微软雅黑" w:hAnsi="微软雅黑" w:eastAsia="微软雅黑" w:cs="微软雅黑"/>
                <w:color w:val="000000"/>
                <w:sz w:val="18"/>
                <w:szCs w:val="18"/>
                <w:lang w:val="en-US" w:eastAsia="zh-CN"/>
              </w:rPr>
              <w:t>+绿色+蓝色</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像素点（点数/ m</w:t>
            </w:r>
            <w:r>
              <w:rPr>
                <w:rFonts w:hint="eastAsia" w:ascii="微软雅黑" w:hAnsi="微软雅黑" w:eastAsia="微软雅黑" w:cs="微软雅黑"/>
                <w:color w:val="000000"/>
                <w:sz w:val="18"/>
                <w:szCs w:val="18"/>
                <w:vertAlign w:val="superscript"/>
              </w:rPr>
              <w:t>2</w:t>
            </w:r>
            <w:r>
              <w:rPr>
                <w:rFonts w:hint="eastAsia" w:ascii="微软雅黑" w:hAnsi="微软雅黑" w:eastAsia="微软雅黑" w:cs="微软雅黑"/>
                <w:color w:val="000000"/>
                <w:sz w:val="18"/>
                <w:szCs w:val="18"/>
              </w:rPr>
              <w:t>）</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62500点/m</w:t>
            </w:r>
            <w:r>
              <w:rPr>
                <w:rFonts w:hint="eastAsia" w:ascii="微软雅黑" w:hAnsi="微软雅黑" w:eastAsia="微软雅黑" w:cs="微软雅黑"/>
                <w:color w:val="000000"/>
                <w:sz w:val="18"/>
                <w:szCs w:val="18"/>
                <w:vertAlign w:val="superscript"/>
              </w:rPr>
              <w:t>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5</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单元板分辨率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eastAsia="zh-CN"/>
              </w:rPr>
              <w:t>32</w:t>
            </w:r>
            <w:r>
              <w:rPr>
                <w:rFonts w:hint="eastAsia" w:ascii="微软雅黑" w:hAnsi="微软雅黑" w:eastAsia="微软雅黑" w:cs="微软雅黑"/>
                <w:color w:val="000000"/>
                <w:sz w:val="18"/>
                <w:szCs w:val="18"/>
              </w:rPr>
              <w:t>点×</w:t>
            </w:r>
            <w:r>
              <w:rPr>
                <w:rFonts w:hint="eastAsia" w:ascii="微软雅黑" w:hAnsi="微软雅黑" w:eastAsia="微软雅黑" w:cs="微软雅黑"/>
                <w:color w:val="000000"/>
                <w:sz w:val="18"/>
                <w:szCs w:val="18"/>
                <w:lang w:val="en-US" w:eastAsia="zh-CN"/>
              </w:rPr>
              <w:t>16</w:t>
            </w:r>
            <w:r>
              <w:rPr>
                <w:rFonts w:hint="eastAsia" w:ascii="微软雅黑" w:hAnsi="微软雅黑" w:eastAsia="微软雅黑" w:cs="微软雅黑"/>
                <w:color w:val="000000"/>
                <w:sz w:val="18"/>
                <w:szCs w:val="18"/>
              </w:rPr>
              <w:t>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单元板尺寸</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eastAsia="zh-CN"/>
              </w:rPr>
              <w:t>320</w:t>
            </w:r>
            <w:r>
              <w:rPr>
                <w:rFonts w:hint="eastAsia" w:ascii="微软雅黑" w:hAnsi="微软雅黑" w:eastAsia="微软雅黑" w:cs="微软雅黑"/>
                <w:color w:val="000000"/>
                <w:sz w:val="18"/>
                <w:szCs w:val="18"/>
              </w:rPr>
              <w:t>mm×</w:t>
            </w:r>
            <w:r>
              <w:rPr>
                <w:rFonts w:hint="eastAsia" w:ascii="微软雅黑" w:hAnsi="微软雅黑" w:eastAsia="微软雅黑" w:cs="微软雅黑"/>
                <w:color w:val="000000"/>
                <w:sz w:val="18"/>
                <w:szCs w:val="18"/>
                <w:lang w:val="en-US" w:eastAsia="zh-CN"/>
              </w:rPr>
              <w:t>160</w:t>
            </w:r>
            <w:r>
              <w:rPr>
                <w:rFonts w:hint="eastAsia" w:ascii="微软雅黑" w:hAnsi="微软雅黑" w:eastAsia="微软雅黑" w:cs="微软雅黑"/>
                <w:color w:val="000000"/>
                <w:sz w:val="18"/>
                <w:szCs w:val="18"/>
              </w:rPr>
              <w:t>mm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7</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单元板点数</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val="en-US" w:eastAsia="zh-CN"/>
              </w:rPr>
              <w:t>5120</w:t>
            </w:r>
            <w:r>
              <w:rPr>
                <w:rFonts w:hint="eastAsia" w:ascii="微软雅黑" w:hAnsi="微软雅黑" w:eastAsia="微软雅黑" w:cs="微软雅黑"/>
                <w:color w:val="000000"/>
                <w:sz w:val="18"/>
                <w:szCs w:val="18"/>
              </w:rPr>
              <w:t>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显示整屏</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屏体尺寸</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 xml:space="preserve">长 </w:t>
            </w:r>
            <w:r>
              <w:rPr>
                <w:rFonts w:hint="eastAsia" w:ascii="微软雅黑" w:hAnsi="微软雅黑" w:eastAsia="微软雅黑" w:cs="微软雅黑"/>
                <w:b w:val="0"/>
                <w:bCs/>
                <w:sz w:val="18"/>
                <w:szCs w:val="18"/>
                <w:lang w:val="en-US" w:eastAsia="zh-CN"/>
              </w:rPr>
              <w:t>7.36</w:t>
            </w:r>
            <w:r>
              <w:rPr>
                <w:rFonts w:hint="eastAsia" w:ascii="微软雅黑" w:hAnsi="微软雅黑" w:eastAsia="微软雅黑" w:cs="微软雅黑"/>
                <w:b w:val="0"/>
                <w:bCs/>
                <w:sz w:val="18"/>
                <w:szCs w:val="18"/>
              </w:rPr>
              <w:t xml:space="preserve"> m×高</w:t>
            </w:r>
            <w:r>
              <w:rPr>
                <w:rFonts w:hint="eastAsia" w:ascii="微软雅黑" w:hAnsi="微软雅黑" w:eastAsia="微软雅黑" w:cs="微软雅黑"/>
                <w:b w:val="0"/>
                <w:bCs/>
                <w:sz w:val="18"/>
                <w:szCs w:val="18"/>
                <w:lang w:val="en-US" w:eastAsia="zh-CN"/>
              </w:rPr>
              <w:t>0.96</w:t>
            </w:r>
            <w:r>
              <w:rPr>
                <w:rFonts w:hint="eastAsia" w:ascii="微软雅黑" w:hAnsi="微软雅黑" w:eastAsia="微软雅黑" w:cs="微软雅黑"/>
                <w:b w:val="0"/>
                <w:bCs/>
                <w:sz w:val="18"/>
                <w:szCs w:val="18"/>
              </w:rPr>
              <w:t xml:space="preserve"> m =  </w:t>
            </w:r>
            <w:r>
              <w:rPr>
                <w:rFonts w:hint="eastAsia" w:ascii="微软雅黑" w:hAnsi="微软雅黑" w:eastAsia="微软雅黑" w:cs="微软雅黑"/>
                <w:b w:val="0"/>
                <w:bCs/>
                <w:sz w:val="18"/>
                <w:szCs w:val="18"/>
                <w:lang w:val="en-US" w:eastAsia="zh-CN"/>
              </w:rPr>
              <w:t>7.0656</w:t>
            </w:r>
            <w:r>
              <w:rPr>
                <w:rFonts w:hint="eastAsia" w:ascii="微软雅黑" w:hAnsi="微软雅黑" w:eastAsia="微软雅黑" w:cs="微软雅黑"/>
                <w:b w:val="0"/>
                <w:bCs/>
                <w:sz w:val="18"/>
                <w:szCs w:val="18"/>
              </w:rPr>
              <w:t xml:space="preserve"> 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9</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eastAsia="zh-CN"/>
              </w:rPr>
            </w:pPr>
            <w:r>
              <w:rPr>
                <w:rFonts w:hint="eastAsia" w:ascii="微软雅黑" w:hAnsi="微软雅黑" w:eastAsia="微软雅黑" w:cs="微软雅黑"/>
                <w:b w:val="0"/>
                <w:bCs/>
                <w:color w:val="000000"/>
                <w:sz w:val="18"/>
                <w:szCs w:val="18"/>
                <w:lang w:eastAsia="zh-CN"/>
              </w:rPr>
              <w:t>箱体规格</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val="en-US" w:eastAsia="zh-CN"/>
              </w:rPr>
            </w:pPr>
            <w:r>
              <w:rPr>
                <w:rFonts w:hint="eastAsia" w:ascii="微软雅黑" w:hAnsi="微软雅黑" w:eastAsia="微软雅黑" w:cs="微软雅黑"/>
                <w:b w:val="0"/>
                <w:bCs/>
                <w:color w:val="000000"/>
                <w:sz w:val="18"/>
                <w:szCs w:val="18"/>
                <w:lang w:eastAsia="zh-CN"/>
              </w:rPr>
              <w:t>户外防水、前维护</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10</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物理分辨率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长2688 点×高768点=  2064384 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11</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最 佳 视距</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4-20m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12</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环 境 温度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存贮 -40℃ ～ +85℃，工作 -20℃ ～ +50℃</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13</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相 对 湿度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10%～95%</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14</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单元板 厚度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≤1.36cm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eastAsia="zh-CN"/>
              </w:rPr>
            </w:pPr>
            <w:r>
              <w:rPr>
                <w:rFonts w:hint="eastAsia" w:ascii="微软雅黑" w:hAnsi="微软雅黑" w:eastAsia="微软雅黑" w:cs="微软雅黑"/>
                <w:b w:val="0"/>
                <w:bCs/>
                <w:color w:val="000000"/>
                <w:sz w:val="18"/>
                <w:szCs w:val="18"/>
                <w:lang w:eastAsia="zh-CN"/>
              </w:rPr>
              <w:t>单元板品牌</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健韬</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16</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供电</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工 作 电压</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AC220V±10％，50Hz（三相五线制）</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平 均 功耗</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450W/m2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最 大 功耗</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≤800W/m2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val="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线材材质</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纯铜线材 品牌：深圳陶氏</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restart"/>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控制系统</w:t>
            </w: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 制 主机</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联想扬天主机或同档次计算机以上</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操 作 系统</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rPr>
              <w:t xml:space="preserve">WIN 98/ 2000/ NT/XP/ </w:t>
            </w:r>
            <w:r>
              <w:rPr>
                <w:rFonts w:hint="eastAsia" w:ascii="微软雅黑" w:hAnsi="微软雅黑" w:eastAsia="微软雅黑" w:cs="微软雅黑"/>
                <w:b w:val="0"/>
                <w:bCs/>
                <w:sz w:val="18"/>
                <w:szCs w:val="18"/>
                <w:lang w:val="en-US" w:eastAsia="zh-CN"/>
              </w:rPr>
              <w:t>win7</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 制 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同步控制</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显  示  卡</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DVI显卡</w:t>
            </w:r>
          </w:p>
        </w:tc>
      </w:tr>
      <w:tr>
        <w:tblPrEx>
          <w:tblCellMar>
            <w:top w:w="15" w:type="dxa"/>
            <w:left w:w="15" w:type="dxa"/>
            <w:bottom w:w="15" w:type="dxa"/>
            <w:right w:w="15" w:type="dxa"/>
          </w:tblCellMar>
        </w:tblPrEx>
        <w:trPr>
          <w:trHeight w:val="618"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编  辑  卡</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PCTV卡</w:t>
            </w:r>
          </w:p>
        </w:tc>
      </w:tr>
      <w:tr>
        <w:tblPrEx>
          <w:tblCellMar>
            <w:top w:w="15" w:type="dxa"/>
            <w:left w:w="15" w:type="dxa"/>
            <w:bottom w:w="15" w:type="dxa"/>
            <w:right w:w="15" w:type="dxa"/>
          </w:tblCellMar>
        </w:tblPrEx>
        <w:trPr>
          <w:trHeight w:val="603" w:hRule="atLeast"/>
        </w:trPr>
        <w:tc>
          <w:tcPr>
            <w:tcW w:w="562"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val="0"/>
                <w:sz w:val="18"/>
                <w:szCs w:val="18"/>
              </w:rPr>
            </w:pP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主要技术参数</w:t>
            </w: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驱 动IC</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FM6124</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val="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换 帧 频率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≥60帧/秒</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val="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刷 新 频率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≥600帧/秒</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屏体亮度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5500cd/m2</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亮度调节方式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软件调节100级可调</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视 频 信号</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PAL/NTSC</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视频输入/输出方式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八路输入/八路输出</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bottom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控制系统采用</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PCTV非线性编辑卡＋DVI显卡＋全彩控制卡</w:t>
            </w:r>
          </w:p>
        </w:tc>
      </w:tr>
    </w:tbl>
    <w:p>
      <w:pPr>
        <w:autoSpaceDE w:val="0"/>
        <w:autoSpaceDN w:val="0"/>
        <w:adjustRightInd w:val="0"/>
        <w:outlineLvl w:val="0"/>
        <w:rPr>
          <w:rFonts w:hint="eastAsia" w:ascii="微软雅黑" w:hAnsi="微软雅黑" w:eastAsia="微软雅黑" w:cs="微软雅黑"/>
          <w:sz w:val="18"/>
          <w:szCs w:val="18"/>
        </w:rPr>
      </w:pPr>
    </w:p>
    <w:tbl>
      <w:tblPr>
        <w:tblStyle w:val="17"/>
        <w:tblW w:w="9276" w:type="dxa"/>
        <w:tblInd w:w="0" w:type="dxa"/>
        <w:tblLayout w:type="fixed"/>
        <w:tblCellMar>
          <w:top w:w="15" w:type="dxa"/>
          <w:left w:w="15" w:type="dxa"/>
          <w:bottom w:w="15" w:type="dxa"/>
          <w:right w:w="15" w:type="dxa"/>
        </w:tblCellMar>
      </w:tblPr>
      <w:tblGrid>
        <w:gridCol w:w="562"/>
        <w:gridCol w:w="1447"/>
        <w:gridCol w:w="2940"/>
        <w:gridCol w:w="4327"/>
      </w:tblGrid>
      <w:tr>
        <w:tblPrEx>
          <w:tblCellMar>
            <w:top w:w="15" w:type="dxa"/>
            <w:left w:w="15" w:type="dxa"/>
            <w:bottom w:w="15" w:type="dxa"/>
            <w:right w:w="15" w:type="dxa"/>
          </w:tblCellMar>
        </w:tblPrEx>
        <w:trPr>
          <w:trHeight w:val="405" w:hRule="atLeast"/>
        </w:trPr>
        <w:tc>
          <w:tcPr>
            <w:tcW w:w="927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微软雅黑" w:hAnsi="微软雅黑" w:eastAsia="微软雅黑" w:cs="微软雅黑"/>
                <w:color w:val="000000"/>
                <w:sz w:val="18"/>
                <w:szCs w:val="18"/>
                <w:lang w:val="en-US" w:eastAsia="zh-CN"/>
              </w:rPr>
            </w:pPr>
            <w:r>
              <w:rPr>
                <w:rFonts w:hint="eastAsia" w:ascii="仿宋_GB2312" w:hAnsi="宋体" w:eastAsia="仿宋_GB2312" w:cs="仿宋_GB2312"/>
                <w:kern w:val="0"/>
                <w:sz w:val="32"/>
                <w:szCs w:val="32"/>
              </w:rPr>
              <w:t>★</w:t>
            </w:r>
            <w:r>
              <w:rPr>
                <w:rFonts w:hint="eastAsia" w:ascii="微软雅黑" w:hAnsi="微软雅黑" w:eastAsia="微软雅黑" w:cs="微软雅黑"/>
                <w:color w:val="000000"/>
                <w:sz w:val="18"/>
                <w:szCs w:val="18"/>
                <w:lang w:val="en-US" w:eastAsia="zh-CN"/>
              </w:rPr>
              <w:t>室内P2全彩主要技术性能参数表</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品名</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eastAsia="zh-CN"/>
              </w:rPr>
              <w:t>技术</w:t>
            </w:r>
            <w:r>
              <w:rPr>
                <w:rFonts w:hint="eastAsia" w:ascii="微软雅黑" w:hAnsi="微软雅黑" w:eastAsia="微软雅黑" w:cs="微软雅黑"/>
                <w:color w:val="000000"/>
                <w:sz w:val="18"/>
                <w:szCs w:val="18"/>
              </w:rPr>
              <w:t>参数</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执行标准</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sz w:val="18"/>
                <w:szCs w:val="18"/>
                <w:lang w:eastAsia="zh-CN"/>
              </w:rPr>
              <w:t>像素管</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像素点间距</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val="en-US" w:eastAsia="zh-CN"/>
              </w:rPr>
              <w:t>2mm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封装品牌</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国星金线</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基色</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val="en-US" w:eastAsia="zh-CN"/>
              </w:rPr>
            </w:pPr>
            <w:r>
              <w:rPr>
                <w:rFonts w:hint="eastAsia" w:ascii="微软雅黑" w:hAnsi="微软雅黑" w:eastAsia="微软雅黑" w:cs="微软雅黑"/>
                <w:color w:val="000000"/>
                <w:sz w:val="18"/>
                <w:szCs w:val="18"/>
                <w:lang w:eastAsia="zh-CN"/>
              </w:rPr>
              <w:t>红色</w:t>
            </w:r>
            <w:r>
              <w:rPr>
                <w:rFonts w:hint="eastAsia" w:ascii="微软雅黑" w:hAnsi="微软雅黑" w:eastAsia="微软雅黑" w:cs="微软雅黑"/>
                <w:color w:val="000000"/>
                <w:sz w:val="18"/>
                <w:szCs w:val="18"/>
                <w:lang w:val="en-US" w:eastAsia="zh-CN"/>
              </w:rPr>
              <w:t>+绿色+蓝色</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像素点（点数/ m</w:t>
            </w:r>
            <w:r>
              <w:rPr>
                <w:rFonts w:hint="eastAsia" w:ascii="微软雅黑" w:hAnsi="微软雅黑" w:eastAsia="微软雅黑" w:cs="微软雅黑"/>
                <w:color w:val="000000"/>
                <w:sz w:val="18"/>
                <w:szCs w:val="18"/>
                <w:vertAlign w:val="superscript"/>
              </w:rPr>
              <w:t>2</w:t>
            </w:r>
            <w:r>
              <w:rPr>
                <w:rFonts w:hint="eastAsia" w:ascii="微软雅黑" w:hAnsi="微软雅黑" w:eastAsia="微软雅黑" w:cs="微软雅黑"/>
                <w:color w:val="000000"/>
                <w:sz w:val="18"/>
                <w:szCs w:val="18"/>
              </w:rPr>
              <w:t>）</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250000点/m</w:t>
            </w:r>
            <w:r>
              <w:rPr>
                <w:rFonts w:hint="eastAsia" w:ascii="微软雅黑" w:hAnsi="微软雅黑" w:eastAsia="微软雅黑" w:cs="微软雅黑"/>
                <w:color w:val="000000"/>
                <w:sz w:val="18"/>
                <w:szCs w:val="18"/>
                <w:vertAlign w:val="superscript"/>
              </w:rPr>
              <w:t>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5</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单元板分辨率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128点×64点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lang w:eastAsia="zh-CN"/>
              </w:rPr>
            </w:pPr>
            <w:r>
              <w:rPr>
                <w:rFonts w:hint="eastAsia" w:ascii="微软雅黑" w:hAnsi="微软雅黑" w:eastAsia="微软雅黑" w:cs="微软雅黑"/>
                <w:color w:val="000000"/>
                <w:sz w:val="18"/>
                <w:szCs w:val="18"/>
                <w:lang w:eastAsia="zh-CN"/>
              </w:rPr>
              <w:t>单元板尺寸</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256mm×128mm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7</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单元板点数</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8192点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显示整屏</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屏体尺寸</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sz w:val="18"/>
                <w:szCs w:val="18"/>
              </w:rPr>
              <w:t xml:space="preserve">长 </w:t>
            </w:r>
            <w:r>
              <w:rPr>
                <w:rFonts w:hint="eastAsia" w:ascii="微软雅黑" w:hAnsi="微软雅黑" w:eastAsia="微软雅黑" w:cs="微软雅黑"/>
                <w:sz w:val="18"/>
                <w:szCs w:val="18"/>
                <w:lang w:val="en-US" w:eastAsia="zh-CN"/>
              </w:rPr>
              <w:t>3.162</w:t>
            </w:r>
            <w:r>
              <w:rPr>
                <w:rFonts w:hint="eastAsia" w:ascii="微软雅黑" w:hAnsi="微软雅黑" w:eastAsia="微软雅黑" w:cs="微软雅黑"/>
                <w:sz w:val="18"/>
                <w:szCs w:val="18"/>
              </w:rPr>
              <w:t xml:space="preserve"> m×高 </w:t>
            </w:r>
            <w:r>
              <w:rPr>
                <w:rFonts w:hint="eastAsia" w:ascii="微软雅黑" w:hAnsi="微软雅黑" w:eastAsia="微软雅黑" w:cs="微软雅黑"/>
                <w:sz w:val="18"/>
                <w:szCs w:val="18"/>
                <w:lang w:val="en-US" w:eastAsia="zh-CN"/>
              </w:rPr>
              <w:t>1.754</w:t>
            </w:r>
            <w:r>
              <w:rPr>
                <w:rFonts w:hint="eastAsia" w:ascii="微软雅黑" w:hAnsi="微软雅黑" w:eastAsia="微软雅黑" w:cs="微软雅黑"/>
                <w:sz w:val="18"/>
                <w:szCs w:val="18"/>
              </w:rPr>
              <w:t>m =</w:t>
            </w:r>
            <w:r>
              <w:rPr>
                <w:rFonts w:hint="eastAsia" w:ascii="微软雅黑" w:hAnsi="微软雅黑" w:eastAsia="微软雅黑" w:cs="微软雅黑"/>
                <w:sz w:val="18"/>
                <w:szCs w:val="18"/>
                <w:lang w:val="en-US" w:eastAsia="zh-CN"/>
              </w:rPr>
              <w:t>5.546148</w:t>
            </w:r>
            <w:r>
              <w:rPr>
                <w:rFonts w:hint="eastAsia" w:ascii="微软雅黑" w:hAnsi="微软雅黑" w:eastAsia="微软雅黑" w:cs="微软雅黑"/>
                <w:sz w:val="18"/>
                <w:szCs w:val="18"/>
              </w:rPr>
              <w:t xml:space="preserve">  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9</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eastAsia="zh-CN"/>
              </w:rPr>
            </w:pPr>
            <w:r>
              <w:rPr>
                <w:rFonts w:hint="eastAsia" w:ascii="微软雅黑" w:hAnsi="微软雅黑" w:eastAsia="微软雅黑" w:cs="微软雅黑"/>
                <w:b w:val="0"/>
                <w:bCs/>
                <w:sz w:val="18"/>
                <w:szCs w:val="18"/>
                <w:lang w:eastAsia="zh-CN"/>
              </w:rPr>
              <w:t>箱体规格</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eastAsia="zh-CN"/>
              </w:rPr>
            </w:pPr>
            <w:r>
              <w:rPr>
                <w:rFonts w:hint="eastAsia" w:ascii="微软雅黑" w:hAnsi="微软雅黑" w:eastAsia="微软雅黑" w:cs="微软雅黑"/>
                <w:b w:val="0"/>
                <w:bCs/>
                <w:color w:val="000000"/>
                <w:sz w:val="18"/>
                <w:szCs w:val="18"/>
                <w:lang w:eastAsia="zh-CN"/>
              </w:rPr>
              <w:t>前维护</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10</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物理分辨率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sz w:val="18"/>
                <w:szCs w:val="18"/>
              </w:rPr>
              <w:t>宽2048点×高1088点= 2228224 点</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11</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最 佳 视距</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sz w:val="18"/>
                <w:szCs w:val="18"/>
              </w:rPr>
              <w:t>2-10m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12</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环 境 温度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存贮 -40℃ ～ +85℃，工作 -20℃ ～ +50℃</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13</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相 对 湿度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10%～95%</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14</w:t>
            </w: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单元板 厚度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sz w:val="18"/>
                <w:szCs w:val="18"/>
              </w:rPr>
              <w:t>≤1.36cm</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w:t>
            </w: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lang w:eastAsia="zh-CN"/>
              </w:rPr>
            </w:pPr>
            <w:r>
              <w:rPr>
                <w:rFonts w:hint="eastAsia" w:ascii="微软雅黑" w:hAnsi="微软雅黑" w:eastAsia="微软雅黑" w:cs="微软雅黑"/>
                <w:b w:val="0"/>
                <w:bCs/>
                <w:color w:val="000000"/>
                <w:sz w:val="18"/>
                <w:szCs w:val="18"/>
                <w:lang w:eastAsia="zh-CN"/>
              </w:rPr>
              <w:t>单元板品牌</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color w:val="000000"/>
                <w:sz w:val="18"/>
                <w:szCs w:val="18"/>
              </w:rPr>
            </w:pPr>
            <w:r>
              <w:rPr>
                <w:rFonts w:hint="eastAsia" w:ascii="微软雅黑" w:hAnsi="微软雅黑" w:eastAsia="微软雅黑" w:cs="微软雅黑"/>
                <w:b w:val="0"/>
                <w:bCs/>
                <w:sz w:val="18"/>
                <w:szCs w:val="18"/>
              </w:rPr>
              <w:t>健韬</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16</w:t>
            </w: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供电</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工 作 电压</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AC220V±10％，50Hz（三相五线制）</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平 均 功耗</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180</w:t>
            </w:r>
            <w:r>
              <w:rPr>
                <w:rFonts w:hint="eastAsia" w:ascii="微软雅黑" w:hAnsi="微软雅黑" w:eastAsia="微软雅黑" w:cs="微软雅黑"/>
                <w:b w:val="0"/>
                <w:bCs w:val="0"/>
                <w:sz w:val="18"/>
                <w:szCs w:val="18"/>
              </w:rPr>
              <w:t>W/m2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最 大 功耗</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≤800W/m2</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val="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线材材质</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rPr>
              <w:t>纯铜线材 品牌：深圳陶氏</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restart"/>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控制系统</w:t>
            </w: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 制 主机</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联想扬天主机或同档次计算机以上</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操 作 系统</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rPr>
              <w:t xml:space="preserve">WIN 98/ 2000/ NT/XP/ </w:t>
            </w:r>
            <w:r>
              <w:rPr>
                <w:rFonts w:hint="eastAsia" w:ascii="微软雅黑" w:hAnsi="微软雅黑" w:eastAsia="微软雅黑" w:cs="微软雅黑"/>
                <w:b w:val="0"/>
                <w:bCs/>
                <w:sz w:val="18"/>
                <w:szCs w:val="18"/>
                <w:lang w:val="en-US" w:eastAsia="zh-CN"/>
              </w:rPr>
              <w:t>win7</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 制 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同步控制</w:t>
            </w:r>
          </w:p>
        </w:tc>
      </w:tr>
      <w:tr>
        <w:tblPrEx>
          <w:tblCellMar>
            <w:top w:w="15" w:type="dxa"/>
            <w:left w:w="15" w:type="dxa"/>
            <w:bottom w:w="15" w:type="dxa"/>
            <w:right w:w="15" w:type="dxa"/>
          </w:tblCellMar>
        </w:tblPrEx>
        <w:trPr>
          <w:trHeight w:val="405"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显  示  卡</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DVI显卡</w:t>
            </w:r>
          </w:p>
        </w:tc>
      </w:tr>
      <w:tr>
        <w:tblPrEx>
          <w:tblCellMar>
            <w:top w:w="15" w:type="dxa"/>
            <w:left w:w="15" w:type="dxa"/>
            <w:bottom w:w="15" w:type="dxa"/>
            <w:right w:w="15" w:type="dxa"/>
          </w:tblCellMar>
        </w:tblPrEx>
        <w:trPr>
          <w:trHeight w:val="618" w:hRule="atLeast"/>
        </w:trPr>
        <w:tc>
          <w:tcPr>
            <w:tcW w:w="562"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center"/>
          </w:tcPr>
          <w:p>
            <w:pPr>
              <w:spacing w:line="360" w:lineRule="auto"/>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编  辑  卡</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PCTV卡</w:t>
            </w:r>
          </w:p>
        </w:tc>
      </w:tr>
      <w:tr>
        <w:tblPrEx>
          <w:tblCellMar>
            <w:top w:w="15" w:type="dxa"/>
            <w:left w:w="15" w:type="dxa"/>
            <w:bottom w:w="15" w:type="dxa"/>
            <w:right w:w="15" w:type="dxa"/>
          </w:tblCellMar>
        </w:tblPrEx>
        <w:trPr>
          <w:trHeight w:val="603" w:hRule="atLeast"/>
        </w:trPr>
        <w:tc>
          <w:tcPr>
            <w:tcW w:w="562"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val="0"/>
                <w:sz w:val="18"/>
                <w:szCs w:val="18"/>
              </w:rPr>
            </w:pPr>
          </w:p>
        </w:tc>
        <w:tc>
          <w:tcPr>
            <w:tcW w:w="1447" w:type="dxa"/>
            <w:vMerge w:val="restart"/>
            <w:tcBorders>
              <w:top w:val="single" w:color="auto" w:sz="4" w:space="0"/>
              <w:left w:val="single" w:color="auto" w:sz="4" w:space="0"/>
            </w:tcBorders>
            <w:noWrap w:val="0"/>
            <w:vAlign w:val="center"/>
          </w:tcPr>
          <w:p>
            <w:pPr>
              <w:spacing w:line="360" w:lineRule="auto"/>
              <w:rPr>
                <w:rFonts w:hint="eastAsia" w:ascii="微软雅黑" w:hAnsi="微软雅黑" w:eastAsia="微软雅黑" w:cs="微软雅黑"/>
                <w:b w:val="0"/>
                <w:bCs/>
                <w:sz w:val="18"/>
                <w:szCs w:val="18"/>
                <w:lang w:val="en-US" w:eastAsia="zh-CN"/>
              </w:rPr>
            </w:pPr>
            <w:r>
              <w:rPr>
                <w:rFonts w:hint="eastAsia" w:ascii="微软雅黑" w:hAnsi="微软雅黑" w:eastAsia="微软雅黑" w:cs="微软雅黑"/>
                <w:b w:val="0"/>
                <w:bCs/>
                <w:sz w:val="18"/>
                <w:szCs w:val="18"/>
                <w:lang w:val="en-US" w:eastAsia="zh-CN"/>
              </w:rPr>
              <w:t>主要技术参数</w:t>
            </w: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驱 动IC</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FM6124</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val="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换 帧 频率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≥60帧/秒</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val="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刷 新 频率</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≥600帧/秒</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屏体亮度</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color w:val="000000"/>
                <w:sz w:val="18"/>
                <w:szCs w:val="18"/>
              </w:rPr>
            </w:pPr>
            <w:r>
              <w:rPr>
                <w:rFonts w:hint="eastAsia" w:ascii="微软雅黑" w:hAnsi="微软雅黑" w:eastAsia="微软雅黑" w:cs="微软雅黑"/>
                <w:sz w:val="18"/>
                <w:szCs w:val="18"/>
              </w:rPr>
              <w:t>1200cd/m2</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亮度调节方式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软件调节100级可调</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视 频 信号</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PAL/NTSC</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视频输入/输出方式</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八路输入/八路输出</w:t>
            </w:r>
          </w:p>
        </w:tc>
      </w:tr>
      <w:tr>
        <w:tblPrEx>
          <w:tblCellMar>
            <w:top w:w="15" w:type="dxa"/>
            <w:left w:w="15" w:type="dxa"/>
            <w:bottom w:w="15" w:type="dxa"/>
            <w:right w:w="15" w:type="dxa"/>
          </w:tblCellMar>
        </w:tblPrEx>
        <w:trPr>
          <w:trHeight w:val="405" w:hRule="atLeast"/>
        </w:trPr>
        <w:tc>
          <w:tcPr>
            <w:tcW w:w="562" w:type="dxa"/>
            <w:vMerge w:val="continue"/>
            <w:tcBorders>
              <w:left w:val="single" w:color="auto" w:sz="4" w:space="0"/>
              <w:bottom w:val="single" w:color="auto" w:sz="4" w:space="0"/>
            </w:tcBorders>
            <w:noWrap w:val="0"/>
            <w:vAlign w:val="top"/>
          </w:tcPr>
          <w:p>
            <w:pPr>
              <w:spacing w:line="360" w:lineRule="auto"/>
              <w:jc w:val="left"/>
              <w:rPr>
                <w:rFonts w:hint="eastAsia" w:ascii="微软雅黑" w:hAnsi="微软雅黑" w:eastAsia="微软雅黑" w:cs="微软雅黑"/>
                <w:color w:val="000000"/>
                <w:sz w:val="18"/>
                <w:szCs w:val="18"/>
              </w:rPr>
            </w:pPr>
          </w:p>
        </w:tc>
        <w:tc>
          <w:tcPr>
            <w:tcW w:w="1447" w:type="dxa"/>
            <w:vMerge w:val="continue"/>
            <w:tcBorders>
              <w:left w:val="single" w:color="auto" w:sz="4" w:space="0"/>
              <w:bottom w:val="single" w:color="auto" w:sz="4" w:space="0"/>
            </w:tcBorders>
            <w:noWrap w:val="0"/>
            <w:vAlign w:val="top"/>
          </w:tcPr>
          <w:p>
            <w:pPr>
              <w:spacing w:line="360" w:lineRule="auto"/>
              <w:jc w:val="left"/>
              <w:rPr>
                <w:rFonts w:hint="eastAsia" w:ascii="微软雅黑" w:hAnsi="微软雅黑" w:eastAsia="微软雅黑" w:cs="微软雅黑"/>
                <w:b w:val="0"/>
                <w:bCs/>
                <w:color w:val="000000"/>
                <w:sz w:val="18"/>
                <w:szCs w:val="18"/>
              </w:rPr>
            </w:pPr>
          </w:p>
        </w:tc>
        <w:tc>
          <w:tcPr>
            <w:tcW w:w="294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控制系统采用</w:t>
            </w:r>
          </w:p>
        </w:tc>
        <w:tc>
          <w:tcPr>
            <w:tcW w:w="43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textAlignment w:val="center"/>
              <w:rPr>
                <w:rFonts w:hint="eastAsia" w:ascii="微软雅黑" w:hAnsi="微软雅黑" w:eastAsia="微软雅黑" w:cs="微软雅黑"/>
                <w:b w:val="0"/>
                <w:bCs/>
                <w:sz w:val="18"/>
                <w:szCs w:val="18"/>
              </w:rPr>
            </w:pPr>
            <w:r>
              <w:rPr>
                <w:rFonts w:hint="eastAsia" w:ascii="微软雅黑" w:hAnsi="微软雅黑" w:eastAsia="微软雅黑" w:cs="微软雅黑"/>
                <w:b w:val="0"/>
                <w:bCs/>
                <w:sz w:val="18"/>
                <w:szCs w:val="18"/>
              </w:rPr>
              <w:t>PCTV非线性编辑卡＋DVI显卡＋全彩控制卡</w:t>
            </w:r>
          </w:p>
        </w:tc>
      </w:tr>
    </w:tbl>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本谈判文件仅适用于《谈判邀请书》中所述采购项目的谈判采购；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参与谈判的所有各方，对在参与谈判过程中获悉的国家和军队商业、技术秘密以及其它依法应当保密的内容，均负有保密义务，违者应对由此造成的后果承担全部法律责任。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“采购项目”系指本谈判文件里描述的所需采购的货物和相关服务；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“采购机构”系指组织本次谈判的</w:t>
      </w:r>
      <w:r>
        <w:rPr>
          <w:rFonts w:hint="eastAsia" w:ascii="仿宋_GB2312" w:hAnsi="宋体" w:eastAsia="仿宋_GB2312" w:cs="仿宋_GB2312"/>
          <w:snapToGrid w:val="0"/>
          <w:kern w:val="0"/>
          <w:sz w:val="32"/>
          <w:szCs w:val="32"/>
          <w:u w:val="single"/>
          <w:lang w:val="zh-CN"/>
        </w:rPr>
        <w:t>（采购机构名称）</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“报价方”系指从采购机构按规定获取谈判文件，并提交报价文件的供应商；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4.</w:t>
      </w:r>
      <w:r>
        <w:rPr>
          <w:rFonts w:hint="eastAsia" w:ascii="仿宋_GB2312" w:hAnsi="宋体" w:eastAsia="仿宋_GB2312" w:cs="仿宋_GB2312"/>
          <w:snapToGrid w:val="0"/>
          <w:kern w:val="0"/>
          <w:sz w:val="32"/>
          <w:szCs w:val="32"/>
          <w:lang w:val="zh-CN"/>
        </w:rPr>
        <w:t>“成交供应商”系指经过谈判评审，确定成交的报价方；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5.</w:t>
      </w:r>
      <w:r>
        <w:rPr>
          <w:rFonts w:hint="eastAsia" w:ascii="仿宋_GB2312" w:hAnsi="宋体" w:eastAsia="仿宋_GB2312" w:cs="仿宋_GB2312"/>
          <w:snapToGrid w:val="0"/>
          <w:kern w:val="0"/>
          <w:sz w:val="32"/>
          <w:szCs w:val="32"/>
          <w:lang w:val="zh-CN"/>
        </w:rPr>
        <w:t>“货物”系指成交供应商按谈判文件规定，所提供的各种形态和种类的物品，包括设备、产品、备品备件、工具、手册等；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6.</w:t>
      </w:r>
      <w:r>
        <w:rPr>
          <w:rFonts w:hint="eastAsia" w:ascii="仿宋_GB2312" w:hAnsi="宋体" w:eastAsia="仿宋_GB2312" w:cs="仿宋_GB2312"/>
          <w:snapToGrid w:val="0"/>
          <w:kern w:val="0"/>
          <w:sz w:val="32"/>
          <w:szCs w:val="32"/>
          <w:lang w:val="zh-CN"/>
        </w:rPr>
        <w:t>“服务”系指成交供应商按谈判文件规定，必须承担的运输、安装、调试、技术协助、培训、维修、配件供应等义务。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能够遵守国家和军队的有关法律、法规和本次谈判的有关规定；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经采购机构资格审查合格，接受邀请，并有供货能力的供应商；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能够承担谈判报价及合同履约中应承担的全部责任与义务。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报价方提供的货物必须是全新的、未使用过的，货物和相关服务应当符合谈判文件的要求，并且其质量完全符合国家标准、军用标准或行业标准。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ascii="仿宋_GB2312" w:hAnsi="宋体" w:eastAsia="仿宋_GB2312" w:cs="仿宋_GB2312"/>
          <w:kern w:val="0"/>
          <w:sz w:val="32"/>
          <w:szCs w:val="32"/>
          <w:lang w:val="zh-CN"/>
        </w:rPr>
        <w:t>18</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w:t>
      </w: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本项目按照军队规定结算款项，售后维护项目通常可以预付部分款项，待年度维护到期验收合格后，合同甲方凭已签章的发运接收单、发票、检验验收报告、采购资金结算通知书等办理结算，货款以银行转账方式直接支付到合同乙方账户。在结算过程中出具虚假发票和不真实文件资料的供应商，将被列入黑名单，终生不得参与军队采购活动，并在军队采购网上予以公示。</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合同乙方组织生产发生资金困难时，可以依据成交合同向指定银行（具体银行信息可通过军队采购网</w:t>
      </w:r>
      <w:r>
        <w:rPr>
          <w:rFonts w:ascii="仿宋_GB2312" w:hAnsi="宋体" w:eastAsia="仿宋_GB2312" w:cs="仿宋_GB2312"/>
          <w:kern w:val="0"/>
          <w:sz w:val="32"/>
          <w:szCs w:val="32"/>
          <w:lang w:val="zh-CN"/>
        </w:rPr>
        <w:t>www.plap.cn</w:t>
      </w:r>
      <w:r>
        <w:rPr>
          <w:rFonts w:hint="eastAsia" w:ascii="仿宋_GB2312" w:hAnsi="宋体" w:eastAsia="仿宋_GB2312" w:cs="仿宋_GB2312"/>
          <w:kern w:val="0"/>
          <w:sz w:val="32"/>
          <w:szCs w:val="32"/>
          <w:lang w:val="zh-CN"/>
        </w:rPr>
        <w:t>查询）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（七）谈判报价费用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不论谈判报价结果如何，报价方均应自行承担与谈判报价有关的全部费用。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※（八）信息发布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本采购项目需要公开的有关信息，采购机构均通过“军队采购网”（</w:t>
      </w:r>
      <w:r>
        <w:rPr>
          <w:rFonts w:ascii="仿宋_GB2312" w:hAnsi="宋体" w:eastAsia="仿宋_GB2312" w:cs="仿宋_GB2312"/>
          <w:kern w:val="0"/>
          <w:sz w:val="32"/>
          <w:szCs w:val="32"/>
          <w:lang w:val="zh-CN"/>
        </w:rPr>
        <w:t>www.plap.cn</w:t>
      </w:r>
      <w:r>
        <w:rPr>
          <w:rFonts w:hint="eastAsia" w:ascii="仿宋_GB2312" w:hAnsi="宋体" w:eastAsia="仿宋_GB2312" w:cs="仿宋_GB2312"/>
          <w:kern w:val="0"/>
          <w:sz w:val="32"/>
          <w:szCs w:val="32"/>
          <w:lang w:val="zh-CN"/>
        </w:rPr>
        <w:t>）公开发布。报价方在参与本采购项目谈判报价活动期间，请及时关注以上媒体上的相关信息，报价方因没有及时关注而未能如期获取相关信息，将会增加报价风险，采购机构对此不承担任何责任。</w:t>
      </w:r>
    </w:p>
    <w:p>
      <w:pPr>
        <w:autoSpaceDE w:val="0"/>
        <w:autoSpaceDN w:val="0"/>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二、谈判文件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（一）谈判文件的内容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谈判文件由谈判邀请书、采购项目技术和商务要求、报价方须知、合同样本、附件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谈判文件以中文编写。纸质谈判文件与电子版谈判文件具有同等法律效力，两者出现不一致时，以纸质谈判文件为准。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（二）谈判文件的澄清</w:t>
      </w:r>
    </w:p>
    <w:p>
      <w:pPr>
        <w:ind w:firstLine="622" w:firstLineChars="20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报价方对谈判文件如有疑问要求澄清，应当在谈判开始</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（三）谈判文件的修改</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报价截止时间前，采购机构可对已发出的谈判文件进行修改。谈判文件修改内容是谈判文件的组成部分。</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谈判文件的修改内容可能影响报价文件编制的，采购机构将在报价截止时间至少</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日前，以书面形式通知所有购买谈判文件的报价方，并对报价方具有约束力。报价方在收到上述通知后，应立即以书面形式向采购机构确认。</w:t>
      </w:r>
    </w:p>
    <w:p>
      <w:pPr>
        <w:ind w:firstLine="622" w:firstLineChars="200"/>
        <w:rPr>
          <w:rFonts w:hint="eastAsia" w:ascii="仿宋_GB2312" w:hAnsi="宋体" w:eastAsia="仿宋_GB2312" w:cs="Times New Roman"/>
          <w:snapToGrid w:val="0"/>
          <w:kern w:val="0"/>
          <w:sz w:val="32"/>
          <w:szCs w:val="32"/>
          <w:lang w:val="en-US" w:eastAsia="zh-CN"/>
        </w:rPr>
      </w:pP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为使报价方有足够时间修改报价文件，采购机构可酌情推迟报价文件提交截止时间和谈判时间，并在报价文件提交截止时间</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日前以书面形式通知所有报价方。</w:t>
      </w:r>
    </w:p>
    <w:p>
      <w:pPr>
        <w:ind w:firstLine="622" w:firstLineChars="200"/>
        <w:rPr>
          <w:rFonts w:ascii="仿宋_GB2312" w:hAnsi="宋体" w:eastAsia="仿宋_GB2312" w:cs="Times New Roman"/>
          <w:snapToGrid w:val="0"/>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三、报价文件编制</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报价文件和来往信函均以中文书写。确有需要时，相关内容可以使用其他语言书写，但必须同时提供中文译文，以中文译文为准。</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报价文件中所使用的计量单位，除谈判文件中有特殊要求外，均采用国家法定计量单位。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（三）报价文件组成（包括两部分：报价书、资格证明文件）</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报价书包括：</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报价函（附件</w:t>
      </w: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报价一览表（附件</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w:t>
      </w:r>
    </w:p>
    <w:p>
      <w:pPr>
        <w:ind w:firstLine="622" w:firstLineChars="20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lang w:val="en-US" w:eastAsia="zh-CN"/>
        </w:rPr>
        <w:t>3</w:t>
      </w:r>
      <w:r>
        <w:rPr>
          <w:rFonts w:hint="eastAsia" w:ascii="仿宋_GB2312" w:hAnsi="宋体" w:eastAsia="仿宋_GB2312" w:cs="仿宋_GB2312"/>
          <w:snapToGrid w:val="0"/>
          <w:kern w:val="0"/>
          <w:sz w:val="32"/>
          <w:szCs w:val="32"/>
        </w:rPr>
        <w:t>)技术指标参数响应偏离表（附件</w:t>
      </w:r>
      <w:r>
        <w:rPr>
          <w:rFonts w:hint="eastAsia" w:ascii="仿宋_GB2312" w:hAnsi="宋体" w:eastAsia="仿宋_GB2312" w:cs="仿宋_GB2312"/>
          <w:snapToGrid w:val="0"/>
          <w:kern w:val="0"/>
          <w:sz w:val="32"/>
          <w:szCs w:val="32"/>
          <w:lang w:val="en-US" w:eastAsia="zh-CN"/>
        </w:rPr>
        <w:t>3</w:t>
      </w:r>
      <w:r>
        <w:rPr>
          <w:rFonts w:hint="eastAsia" w:ascii="仿宋_GB2312" w:hAnsi="宋体" w:eastAsia="仿宋_GB2312" w:cs="仿宋_GB2312"/>
          <w:snapToGrid w:val="0"/>
          <w:kern w:val="0"/>
          <w:sz w:val="32"/>
          <w:szCs w:val="32"/>
        </w:rPr>
        <w:t>）</w:t>
      </w:r>
    </w:p>
    <w:p>
      <w:pPr>
        <w:ind w:firstLine="622" w:firstLineChars="20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lang w:val="en-US" w:eastAsia="zh-CN"/>
        </w:rPr>
        <w:t>4</w:t>
      </w:r>
      <w:r>
        <w:rPr>
          <w:rFonts w:hint="eastAsia" w:ascii="仿宋_GB2312" w:hAnsi="宋体" w:eastAsia="仿宋_GB2312" w:cs="仿宋_GB2312"/>
          <w:snapToGrid w:val="0"/>
          <w:kern w:val="0"/>
          <w:sz w:val="32"/>
          <w:szCs w:val="32"/>
        </w:rPr>
        <w:t>)主要商务条款响应偏离表（附件</w:t>
      </w:r>
      <w:r>
        <w:rPr>
          <w:rFonts w:hint="eastAsia" w:ascii="仿宋_GB2312" w:hAnsi="宋体" w:eastAsia="仿宋_GB2312" w:cs="仿宋_GB2312"/>
          <w:snapToGrid w:val="0"/>
          <w:kern w:val="0"/>
          <w:sz w:val="32"/>
          <w:szCs w:val="32"/>
          <w:lang w:val="en-US" w:eastAsia="zh-CN"/>
        </w:rPr>
        <w:t>4</w:t>
      </w:r>
      <w:r>
        <w:rPr>
          <w:rFonts w:hint="eastAsia" w:ascii="仿宋_GB2312" w:hAnsi="宋体" w:eastAsia="仿宋_GB2312" w:cs="仿宋_GB2312"/>
          <w:snapToGrid w:val="0"/>
          <w:kern w:val="0"/>
          <w:sz w:val="32"/>
          <w:szCs w:val="32"/>
        </w:rPr>
        <w:t>）</w:t>
      </w:r>
    </w:p>
    <w:p>
      <w:pPr>
        <w:ind w:firstLine="622" w:firstLineChars="200"/>
        <w:rPr>
          <w:rFonts w:ascii="仿宋_GB2312" w:hAnsi="宋体" w:eastAsia="仿宋_GB2312" w:cs="Times New Roman"/>
          <w:snapToGrid w:val="0"/>
          <w:color w:val="000000" w:themeColor="text1"/>
          <w:kern w:val="0"/>
          <w:sz w:val="32"/>
          <w:szCs w:val="32"/>
          <w14:textFill>
            <w14:solidFill>
              <w14:schemeClr w14:val="tx1"/>
            </w14:solidFill>
          </w14:textFill>
        </w:rPr>
      </w:pPr>
      <w:r>
        <w:rPr>
          <w:rFonts w:ascii="仿宋_GB2312" w:hAnsi="宋体" w:eastAsia="仿宋_GB2312" w:cs="仿宋_GB2312"/>
          <w:snapToGrid w:val="0"/>
          <w:color w:val="000000" w:themeColor="text1"/>
          <w:kern w:val="0"/>
          <w:sz w:val="32"/>
          <w:szCs w:val="32"/>
          <w14:textFill>
            <w14:solidFill>
              <w14:schemeClr w14:val="tx1"/>
            </w14:solidFill>
          </w14:textFill>
        </w:rPr>
        <w:t>(</w:t>
      </w:r>
      <w:r>
        <w:rPr>
          <w:rFonts w:hint="eastAsia" w:ascii="仿宋_GB2312" w:hAnsi="宋体" w:eastAsia="仿宋_GB2312" w:cs="仿宋_GB2312"/>
          <w:snapToGrid w:val="0"/>
          <w:color w:val="000000" w:themeColor="text1"/>
          <w:kern w:val="0"/>
          <w:sz w:val="32"/>
          <w:szCs w:val="32"/>
          <w:lang w:val="en-US" w:eastAsia="zh-CN"/>
          <w14:textFill>
            <w14:solidFill>
              <w14:schemeClr w14:val="tx1"/>
            </w14:solidFill>
          </w14:textFill>
        </w:rPr>
        <w:t>5</w:t>
      </w:r>
      <w:r>
        <w:rPr>
          <w:rFonts w:ascii="仿宋_GB2312" w:hAnsi="宋体" w:eastAsia="仿宋_GB2312" w:cs="仿宋_GB2312"/>
          <w:snapToGrid w:val="0"/>
          <w:color w:val="000000" w:themeColor="text1"/>
          <w:kern w:val="0"/>
          <w:sz w:val="32"/>
          <w:szCs w:val="32"/>
          <w14:textFill>
            <w14:solidFill>
              <w14:schemeClr w14:val="tx1"/>
            </w14:solidFill>
          </w14:textFill>
        </w:rPr>
        <w:t>)</w:t>
      </w:r>
      <w:r>
        <w:rPr>
          <w:rFonts w:hint="eastAsia" w:ascii="仿宋_GB2312" w:hAnsi="宋体" w:eastAsia="仿宋_GB2312" w:cs="仿宋_GB2312"/>
          <w:snapToGrid w:val="0"/>
          <w:color w:val="000000" w:themeColor="text1"/>
          <w:kern w:val="0"/>
          <w:sz w:val="32"/>
          <w:szCs w:val="32"/>
          <w14:textFill>
            <w14:solidFill>
              <w14:schemeClr w14:val="tx1"/>
            </w14:solidFill>
          </w14:textFill>
        </w:rPr>
        <w:t>交货清单（附件</w:t>
      </w:r>
      <w:r>
        <w:rPr>
          <w:rFonts w:hint="eastAsia" w:ascii="仿宋_GB2312" w:hAnsi="宋体" w:eastAsia="仿宋_GB2312" w:cs="仿宋_GB2312"/>
          <w:snapToGrid w:val="0"/>
          <w:color w:val="000000" w:themeColor="text1"/>
          <w:kern w:val="0"/>
          <w:sz w:val="32"/>
          <w:szCs w:val="32"/>
          <w:lang w:val="en-US" w:eastAsia="zh-CN"/>
          <w14:textFill>
            <w14:solidFill>
              <w14:schemeClr w14:val="tx1"/>
            </w14:solidFill>
          </w14:textFill>
        </w:rPr>
        <w:t>5</w:t>
      </w:r>
      <w:r>
        <w:rPr>
          <w:rFonts w:hint="eastAsia" w:ascii="仿宋_GB2312" w:hAnsi="宋体" w:eastAsia="仿宋_GB2312" w:cs="仿宋_GB2312"/>
          <w:snapToGrid w:val="0"/>
          <w:color w:val="000000" w:themeColor="text1"/>
          <w:kern w:val="0"/>
          <w:sz w:val="32"/>
          <w:szCs w:val="32"/>
          <w14:textFill>
            <w14:solidFill>
              <w14:schemeClr w14:val="tx1"/>
            </w14:solidFill>
          </w14:textFill>
        </w:rPr>
        <w:t>）</w:t>
      </w:r>
    </w:p>
    <w:p>
      <w:pPr>
        <w:ind w:firstLine="622" w:firstLineChars="200"/>
        <w:rPr>
          <w:rFonts w:ascii="仿宋_GB2312" w:hAnsi="宋体" w:eastAsia="仿宋_GB2312" w:cs="仿宋_GB2312"/>
          <w:snapToGrid w:val="0"/>
          <w:color w:val="000000" w:themeColor="text1"/>
          <w:kern w:val="0"/>
          <w:sz w:val="32"/>
          <w:szCs w:val="32"/>
          <w14:textFill>
            <w14:solidFill>
              <w14:schemeClr w14:val="tx1"/>
            </w14:solidFill>
          </w14:textFill>
        </w:rPr>
      </w:pPr>
      <w:r>
        <w:rPr>
          <w:rFonts w:hint="eastAsia" w:ascii="仿宋_GB2312" w:hAnsi="宋体" w:eastAsia="仿宋_GB2312" w:cs="仿宋_GB2312"/>
          <w:snapToGrid w:val="0"/>
          <w:color w:val="000000" w:themeColor="text1"/>
          <w:kern w:val="0"/>
          <w:sz w:val="32"/>
          <w:szCs w:val="32"/>
          <w14:textFill>
            <w14:solidFill>
              <w14:schemeClr w14:val="tx1"/>
            </w14:solidFill>
          </w14:textFill>
        </w:rPr>
        <w:t>※</w:t>
      </w:r>
      <w:r>
        <w:rPr>
          <w:rFonts w:ascii="仿宋_GB2312" w:hAnsi="宋体" w:eastAsia="仿宋_GB2312" w:cs="仿宋_GB2312"/>
          <w:snapToGrid w:val="0"/>
          <w:color w:val="000000" w:themeColor="text1"/>
          <w:kern w:val="0"/>
          <w:sz w:val="32"/>
          <w:szCs w:val="32"/>
          <w14:textFill>
            <w14:solidFill>
              <w14:schemeClr w14:val="tx1"/>
            </w14:solidFill>
          </w14:textFill>
        </w:rPr>
        <w:t>(</w:t>
      </w:r>
      <w:r>
        <w:rPr>
          <w:rFonts w:hint="eastAsia" w:ascii="仿宋_GB2312" w:hAnsi="宋体" w:eastAsia="仿宋_GB2312" w:cs="仿宋_GB2312"/>
          <w:snapToGrid w:val="0"/>
          <w:color w:val="000000" w:themeColor="text1"/>
          <w:kern w:val="0"/>
          <w:sz w:val="32"/>
          <w:szCs w:val="32"/>
          <w:lang w:val="en-US" w:eastAsia="zh-CN"/>
          <w14:textFill>
            <w14:solidFill>
              <w14:schemeClr w14:val="tx1"/>
            </w14:solidFill>
          </w14:textFill>
        </w:rPr>
        <w:t>6</w:t>
      </w:r>
      <w:r>
        <w:rPr>
          <w:rFonts w:ascii="仿宋_GB2312" w:hAnsi="宋体" w:eastAsia="仿宋_GB2312" w:cs="仿宋_GB2312"/>
          <w:snapToGrid w:val="0"/>
          <w:color w:val="000000" w:themeColor="text1"/>
          <w:kern w:val="0"/>
          <w:sz w:val="32"/>
          <w:szCs w:val="32"/>
          <w14:textFill>
            <w14:solidFill>
              <w14:schemeClr w14:val="tx1"/>
            </w14:solidFill>
          </w14:textFill>
        </w:rPr>
        <w:t>)</w:t>
      </w:r>
      <w:r>
        <w:rPr>
          <w:rFonts w:hint="eastAsia" w:ascii="仿宋_GB2312" w:hAnsi="宋体" w:eastAsia="仿宋_GB2312" w:cs="仿宋_GB2312"/>
          <w:snapToGrid w:val="0"/>
          <w:color w:val="000000" w:themeColor="text1"/>
          <w:kern w:val="0"/>
          <w:sz w:val="32"/>
          <w:szCs w:val="32"/>
          <w14:textFill>
            <w14:solidFill>
              <w14:schemeClr w14:val="tx1"/>
            </w14:solidFill>
          </w14:textFill>
        </w:rPr>
        <w:t>易损易耗件清单（附件</w:t>
      </w:r>
      <w:r>
        <w:rPr>
          <w:rFonts w:hint="eastAsia" w:ascii="仿宋_GB2312" w:hAnsi="宋体" w:eastAsia="仿宋_GB2312" w:cs="仿宋_GB2312"/>
          <w:snapToGrid w:val="0"/>
          <w:color w:val="000000" w:themeColor="text1"/>
          <w:kern w:val="0"/>
          <w:sz w:val="32"/>
          <w:szCs w:val="32"/>
          <w:lang w:val="en-US" w:eastAsia="zh-CN"/>
          <w14:textFill>
            <w14:solidFill>
              <w14:schemeClr w14:val="tx1"/>
            </w14:solidFill>
          </w14:textFill>
        </w:rPr>
        <w:t>6</w:t>
      </w:r>
      <w:r>
        <w:rPr>
          <w:rFonts w:hint="eastAsia" w:ascii="仿宋_GB2312" w:hAnsi="宋体" w:eastAsia="仿宋_GB2312" w:cs="仿宋_GB2312"/>
          <w:snapToGrid w:val="0"/>
          <w:color w:val="000000" w:themeColor="text1"/>
          <w:kern w:val="0"/>
          <w:sz w:val="32"/>
          <w:szCs w:val="32"/>
          <w14:textFill>
            <w14:solidFill>
              <w14:schemeClr w14:val="tx1"/>
            </w14:solidFill>
          </w14:textFill>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售后服务承诺（附件</w:t>
      </w:r>
      <w:r>
        <w:rPr>
          <w:rFonts w:hint="eastAsia" w:ascii="仿宋_GB2312" w:hAnsi="宋体" w:eastAsia="仿宋_GB2312" w:cs="仿宋_GB2312"/>
          <w:kern w:val="0"/>
          <w:sz w:val="32"/>
          <w:szCs w:val="32"/>
          <w:lang w:val="en-US" w:eastAsia="zh-CN"/>
        </w:rPr>
        <w:t>7</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保密承诺书（附件</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en-US" w:eastAsia="zh-CN"/>
        </w:rPr>
        <w:t>9</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近</w:t>
      </w: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年成交案例及同类项目案例（附件</w:t>
      </w:r>
      <w:r>
        <w:rPr>
          <w:rFonts w:hint="eastAsia" w:ascii="仿宋_GB2312" w:hAnsi="宋体" w:eastAsia="仿宋_GB2312" w:cs="仿宋_GB2312"/>
          <w:snapToGrid w:val="0"/>
          <w:kern w:val="0"/>
          <w:sz w:val="32"/>
          <w:szCs w:val="32"/>
          <w:lang w:val="en-US" w:eastAsia="zh-CN"/>
        </w:rPr>
        <w:t>9</w:t>
      </w:r>
      <w:r>
        <w:rPr>
          <w:rFonts w:hint="eastAsia" w:ascii="仿宋_GB2312" w:hAnsi="宋体" w:eastAsia="仿宋_GB2312" w:cs="仿宋_GB2312"/>
          <w:snapToGrid w:val="0"/>
          <w:kern w:val="0"/>
          <w:sz w:val="32"/>
          <w:szCs w:val="32"/>
          <w:lang w:val="zh-CN"/>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w:t>
      </w:r>
      <w:r>
        <w:rPr>
          <w:rFonts w:ascii="仿宋_GB2312" w:hAnsi="宋体" w:eastAsia="仿宋_GB2312" w:cs="仿宋_GB2312"/>
          <w:kern w:val="0"/>
          <w:sz w:val="32"/>
          <w:szCs w:val="32"/>
          <w:lang w:val="zh-CN"/>
        </w:rPr>
        <w:t>(</w:t>
      </w:r>
      <w:r>
        <w:rPr>
          <w:rFonts w:hint="eastAsia" w:ascii="仿宋_GB2312" w:hAnsi="宋体" w:eastAsia="仿宋_GB2312" w:cs="仿宋_GB2312"/>
          <w:kern w:val="0"/>
          <w:sz w:val="32"/>
          <w:szCs w:val="32"/>
          <w:lang w:val="en-US" w:eastAsia="zh-CN"/>
        </w:rPr>
        <w:t>10</w:t>
      </w:r>
      <w:r>
        <w:rPr>
          <w:rFonts w:ascii="仿宋_GB2312" w:hAnsi="宋体" w:eastAsia="仿宋_GB2312" w:cs="仿宋_GB2312"/>
          <w:kern w:val="0"/>
          <w:sz w:val="32"/>
          <w:szCs w:val="32"/>
          <w:lang w:val="zh-CN"/>
        </w:rPr>
        <w:t>)</w:t>
      </w:r>
      <w:r>
        <w:rPr>
          <w:rFonts w:hint="eastAsia" w:ascii="仿宋_GB2312" w:hAnsi="宋体" w:eastAsia="仿宋_GB2312" w:cs="仿宋_GB2312"/>
          <w:kern w:val="0"/>
          <w:sz w:val="32"/>
          <w:szCs w:val="32"/>
        </w:rPr>
        <w:t>近</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年没有发生过重大质量安全事故承诺或证明</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11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报价方认为需要加以说明的其他内容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营业执照副本</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组织机构代码证副本</w:t>
      </w:r>
      <w:r>
        <w:rPr>
          <w:rFonts w:hint="eastAsia" w:ascii="仿宋_GB2312" w:hAnsi="宋体" w:eastAsia="仿宋_GB2312" w:cs="仿宋_GB2312"/>
          <w:sz w:val="32"/>
          <w:szCs w:val="32"/>
        </w:rPr>
        <w:t>（三证合一的不需提供）</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税务登记证副本</w:t>
      </w:r>
      <w:r>
        <w:rPr>
          <w:rFonts w:hint="eastAsia" w:ascii="仿宋_GB2312" w:hAnsi="宋体" w:eastAsia="仿宋_GB2312" w:cs="仿宋_GB2312"/>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参加本次采购活动前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年内在经营活动中没有重大违法记录的书面声明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谈判保证金保函（附件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法定代表人资格证明书（原件，附件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1</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法定代表人授权书（原件，如法定代表人未到谈判现场需提供，附件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w:t>
      </w:r>
    </w:p>
    <w:p>
      <w:pPr>
        <w:ind w:firstLine="622"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)报价方基本情况表（附件1</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报价方认为需要加以说明的其他内容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报价方必须按上述统一格式及顺序向采购机构提供《报价书》和《资格证明文件》，否则可能被视为无效报价。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报价文件必须工整、规范、统一、清晰，采用</w:t>
      </w:r>
      <w:r>
        <w:rPr>
          <w:rFonts w:ascii="仿宋_GB2312" w:hAnsi="宋体" w:eastAsia="仿宋_GB2312" w:cs="仿宋_GB2312"/>
          <w:kern w:val="0"/>
          <w:sz w:val="32"/>
          <w:szCs w:val="32"/>
        </w:rPr>
        <w:t>A4</w:t>
      </w:r>
      <w:r>
        <w:rPr>
          <w:rFonts w:hint="eastAsia" w:ascii="仿宋_GB2312" w:hAnsi="宋体" w:eastAsia="仿宋_GB2312" w:cs="仿宋_GB2312"/>
          <w:kern w:val="0"/>
          <w:sz w:val="32"/>
          <w:szCs w:val="32"/>
        </w:rPr>
        <w:t>幅面纸胶装成册、标注页码。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2.</w:t>
      </w:r>
      <w:r>
        <w:rPr>
          <w:rFonts w:hint="eastAsia" w:ascii="仿宋_GB2312" w:hAnsi="宋体" w:eastAsia="仿宋_GB2312" w:cs="仿宋_GB2312"/>
          <w:kern w:val="0"/>
          <w:sz w:val="32"/>
          <w:szCs w:val="32"/>
        </w:rPr>
        <w:t>报价方应当按照谈判文件规定的统一格式填写报价文件，报价文件开始部分应当有目录，以及方便谈判小组评审使用的项目索引。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报价方名称应当填写全称，同时加盖公章</w:t>
      </w:r>
      <w:r>
        <w:rPr>
          <w:rFonts w:hint="eastAsia" w:ascii="仿宋_GB2312" w:hAnsi="宋体" w:eastAsia="仿宋_GB2312" w:cs="仿宋_GB2312"/>
          <w:snapToGrid w:val="0"/>
          <w:kern w:val="0"/>
          <w:sz w:val="32"/>
          <w:szCs w:val="32"/>
        </w:rPr>
        <w:t>，</w:t>
      </w:r>
      <w:r>
        <w:rPr>
          <w:rFonts w:hint="eastAsia" w:ascii="仿宋_GB2312" w:hAnsi="宋体" w:eastAsia="仿宋_GB2312" w:cs="仿宋_GB2312"/>
          <w:kern w:val="0"/>
          <w:sz w:val="32"/>
          <w:szCs w:val="32"/>
          <w:lang w:val="zh-CN"/>
        </w:rPr>
        <w:t>公章与</w:t>
      </w:r>
      <w:r>
        <w:rPr>
          <w:rFonts w:hint="eastAsia" w:ascii="仿宋_GB2312" w:hAnsi="宋体" w:eastAsia="仿宋_GB2312" w:cs="仿宋_GB2312"/>
          <w:snapToGrid w:val="0"/>
          <w:kern w:val="0"/>
          <w:sz w:val="32"/>
          <w:szCs w:val="32"/>
        </w:rPr>
        <w:t>全称</w:t>
      </w:r>
      <w:r>
        <w:rPr>
          <w:rFonts w:hint="eastAsia" w:ascii="仿宋_GB2312" w:hAnsi="宋体" w:eastAsia="仿宋_GB2312" w:cs="仿宋_GB2312"/>
          <w:kern w:val="0"/>
          <w:sz w:val="32"/>
          <w:szCs w:val="32"/>
          <w:lang w:val="zh-CN"/>
        </w:rPr>
        <w:t>相符</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报价书、资格证明文件须</w:t>
      </w:r>
      <w:r>
        <w:rPr>
          <w:rFonts w:hint="eastAsia" w:ascii="仿宋_GB2312" w:hAnsi="宋体" w:eastAsia="仿宋_GB2312" w:cs="仿宋_GB2312"/>
          <w:kern w:val="0"/>
          <w:sz w:val="32"/>
          <w:szCs w:val="32"/>
          <w:lang w:val="en-US" w:eastAsia="zh-CN"/>
        </w:rPr>
        <w:t>统一</w:t>
      </w:r>
      <w:r>
        <w:rPr>
          <w:rFonts w:hint="eastAsia" w:ascii="仿宋_GB2312" w:hAnsi="宋体" w:eastAsia="仿宋_GB2312" w:cs="仿宋_GB2312"/>
          <w:kern w:val="0"/>
          <w:sz w:val="32"/>
          <w:szCs w:val="32"/>
        </w:rPr>
        <w:t>封装。其中，报价书</w:t>
      </w:r>
      <w:r>
        <w:rPr>
          <w:rFonts w:hint="eastAsia" w:ascii="仿宋_GB2312" w:hAnsi="宋体" w:eastAsia="仿宋_GB2312" w:cs="仿宋_GB2312"/>
          <w:kern w:val="0"/>
          <w:sz w:val="32"/>
          <w:szCs w:val="32"/>
          <w:lang w:val="en-US" w:eastAsia="zh-CN"/>
        </w:rPr>
        <w:t>和资格证明文件一式3份，其中正本1份，副本2份；每份文件上要注明“正本”或“副本”</w:t>
      </w:r>
      <w:r>
        <w:rPr>
          <w:rFonts w:hint="eastAsia" w:ascii="仿宋_GB2312" w:hAnsi="宋体" w:eastAsia="仿宋_GB2312" w:cs="仿宋_GB2312"/>
          <w:kern w:val="0"/>
          <w:sz w:val="32"/>
          <w:szCs w:val="32"/>
        </w:rPr>
        <w:t>字样。※报价书、资格证明文件提供电子文档一份。如果纸质正本与副本、电子报价文件不符，以纸质正本为准。</w:t>
      </w:r>
    </w:p>
    <w:p>
      <w:pPr>
        <w:ind w:firstLine="622" w:firstLineChars="200"/>
        <w:rPr>
          <w:rFonts w:ascii="仿宋_GB2312" w:hAnsi="宋体" w:eastAsia="仿宋_GB2312" w:cs="Times New Roman"/>
          <w:snapToGrid w:val="0"/>
          <w:kern w:val="0"/>
          <w:sz w:val="32"/>
          <w:szCs w:val="32"/>
          <w:lang w:val="zh-CN"/>
        </w:rPr>
      </w:pP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lang w:val="zh-CN"/>
        </w:rPr>
        <w:t>报价方应自带备份电子报价文件，以防损坏。电子报价文件提交要求：</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电子报价文件必须采用光盘刻录；</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电子报价文件为纸质正本报价文件的</w:t>
      </w:r>
      <w:r>
        <w:rPr>
          <w:rFonts w:ascii="仿宋_GB2312" w:hAnsi="宋体" w:eastAsia="仿宋_GB2312" w:cs="仿宋_GB2312"/>
          <w:snapToGrid w:val="0"/>
          <w:kern w:val="0"/>
          <w:sz w:val="32"/>
          <w:szCs w:val="32"/>
          <w:lang w:val="zh-CN"/>
        </w:rPr>
        <w:t>PDF</w:t>
      </w:r>
      <w:r>
        <w:rPr>
          <w:rFonts w:hint="eastAsia" w:ascii="仿宋_GB2312" w:hAnsi="宋体" w:eastAsia="仿宋_GB2312" w:cs="仿宋_GB2312"/>
          <w:snapToGrid w:val="0"/>
          <w:kern w:val="0"/>
          <w:sz w:val="32"/>
          <w:szCs w:val="32"/>
          <w:lang w:val="zh-CN"/>
        </w:rPr>
        <w:t>格式或</w:t>
      </w:r>
      <w:r>
        <w:rPr>
          <w:rFonts w:ascii="仿宋_GB2312" w:hAnsi="宋体" w:eastAsia="仿宋_GB2312" w:cs="仿宋_GB2312"/>
          <w:snapToGrid w:val="0"/>
          <w:kern w:val="0"/>
          <w:sz w:val="32"/>
          <w:szCs w:val="32"/>
          <w:lang w:val="zh-CN"/>
        </w:rPr>
        <w:t>DOC</w:t>
      </w:r>
      <w:r>
        <w:rPr>
          <w:rFonts w:hint="eastAsia" w:ascii="仿宋_GB2312" w:hAnsi="宋体" w:eastAsia="仿宋_GB2312" w:cs="仿宋_GB2312"/>
          <w:snapToGrid w:val="0"/>
          <w:kern w:val="0"/>
          <w:sz w:val="32"/>
          <w:szCs w:val="32"/>
          <w:lang w:val="zh-CN"/>
        </w:rPr>
        <w:t>格式文档，目录与相应内容具有链接索引功能，文件名格式：“第</w:t>
      </w:r>
      <w:r>
        <w:rPr>
          <w:rFonts w:ascii="仿宋_GB2312" w:hAnsi="宋体" w:eastAsia="仿宋_GB2312" w:cs="仿宋_GB2312"/>
          <w:snapToGrid w:val="0"/>
          <w:kern w:val="0"/>
          <w:sz w:val="32"/>
          <w:szCs w:val="32"/>
          <w:lang w:val="zh-CN"/>
        </w:rPr>
        <w:t>X</w:t>
      </w:r>
      <w:r>
        <w:rPr>
          <w:rFonts w:hint="eastAsia" w:ascii="仿宋_GB2312" w:hAnsi="宋体" w:eastAsia="仿宋_GB2312" w:cs="仿宋_GB2312"/>
          <w:snapToGrid w:val="0"/>
          <w:kern w:val="0"/>
          <w:sz w:val="32"/>
          <w:szCs w:val="32"/>
          <w:lang w:val="zh-CN"/>
        </w:rPr>
        <w:t>包</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项目名称</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报价文件不得随意涂改和增删。如有修改错漏之处，必须由法定代表人或授权代表签字、盖章。法定代表人签字或签章均视为有效。</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报价文件</w:t>
      </w:r>
      <w:r>
        <w:rPr>
          <w:rFonts w:hint="eastAsia" w:ascii="仿宋_GB2312" w:hAnsi="宋体" w:eastAsia="仿宋_GB2312" w:cs="仿宋_GB2312"/>
          <w:kern w:val="0"/>
          <w:sz w:val="32"/>
          <w:szCs w:val="32"/>
          <w:lang w:val="zh-CN"/>
        </w:rPr>
        <w:t>因字迹潦草或表述不清以及复印件不清所引起的后果由报价方自行负责</w:t>
      </w:r>
      <w:r>
        <w:rPr>
          <w:rFonts w:hint="eastAsia" w:ascii="仿宋_GB2312" w:hAnsi="宋体" w:eastAsia="仿宋_GB2312" w:cs="仿宋_GB2312"/>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（五）</w:t>
      </w:r>
      <w:r>
        <w:rPr>
          <w:rFonts w:hint="eastAsia" w:ascii="仿宋_GB2312" w:hAnsi="宋体" w:eastAsia="仿宋_GB2312" w:cs="仿宋_GB2312"/>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lang w:val="zh-CN"/>
        </w:rPr>
        <w:t>报价文件自提交截止之日</w:t>
      </w:r>
      <w:r>
        <w:rPr>
          <w:rFonts w:hint="eastAsia" w:ascii="仿宋_GB2312" w:hAnsi="宋体" w:eastAsia="仿宋_GB2312" w:cs="仿宋_GB2312"/>
          <w:color w:val="000000" w:themeColor="text1"/>
          <w:kern w:val="0"/>
          <w:sz w:val="32"/>
          <w:szCs w:val="32"/>
          <w:lang w:val="zh-CN"/>
          <w14:textFill>
            <w14:solidFill>
              <w14:schemeClr w14:val="tx1"/>
            </w14:solidFill>
          </w14:textFill>
        </w:rPr>
        <w:t>起</w:t>
      </w:r>
      <w:r>
        <w:rPr>
          <w:rFonts w:hint="eastAsia" w:ascii="仿宋_GB2312" w:hAnsi="宋体" w:eastAsia="仿宋_GB2312" w:cs="仿宋_GB2312"/>
          <w:snapToGrid w:val="0"/>
          <w:color w:val="000000" w:themeColor="text1"/>
          <w:kern w:val="0"/>
          <w:sz w:val="32"/>
          <w:szCs w:val="32"/>
          <w:lang w:val="en-US" w:eastAsia="zh-CN"/>
          <w14:textFill>
            <w14:solidFill>
              <w14:schemeClr w14:val="tx1"/>
            </w14:solidFill>
          </w14:textFill>
        </w:rPr>
        <w:t>3</w:t>
      </w:r>
      <w:r>
        <w:rPr>
          <w:rFonts w:ascii="仿宋_GB2312" w:hAnsi="宋体" w:eastAsia="仿宋_GB2312" w:cs="仿宋_GB2312"/>
          <w:snapToGrid w:val="0"/>
          <w:color w:val="000000" w:themeColor="text1"/>
          <w:kern w:val="0"/>
          <w:sz w:val="32"/>
          <w:szCs w:val="32"/>
          <w:lang w:val="zh-CN"/>
          <w14:textFill>
            <w14:solidFill>
              <w14:schemeClr w14:val="tx1"/>
            </w14:solidFill>
          </w14:textFill>
        </w:rPr>
        <w:t>0</w:t>
      </w:r>
      <w:r>
        <w:rPr>
          <w:rFonts w:hint="eastAsia" w:ascii="仿宋_GB2312" w:hAnsi="宋体" w:eastAsia="仿宋_GB2312" w:cs="仿宋_GB2312"/>
          <w:color w:val="000000" w:themeColor="text1"/>
          <w:kern w:val="0"/>
          <w:sz w:val="32"/>
          <w:szCs w:val="32"/>
          <w:lang w:val="zh-CN"/>
          <w14:textFill>
            <w14:solidFill>
              <w14:schemeClr w14:val="tx1"/>
            </w14:solidFill>
          </w14:textFill>
        </w:rPr>
        <w:t>日</w:t>
      </w:r>
      <w:r>
        <w:rPr>
          <w:rFonts w:hint="eastAsia" w:ascii="仿宋_GB2312" w:hAnsi="宋体" w:eastAsia="仿宋_GB2312" w:cs="仿宋_GB2312"/>
          <w:kern w:val="0"/>
          <w:sz w:val="32"/>
          <w:szCs w:val="32"/>
          <w:lang w:val="zh-CN"/>
        </w:rPr>
        <w:t>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报价文件有效期需要延长的，采购机构可与报价方进行协商，并以书面形式予以确认，谈判保证金有效期相应延长。报价方拒绝延长有效期不影响退还谈判保证金。同意延长有效期的报价方不能修改报价文件。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在采购过程中</w:t>
      </w:r>
      <w:r>
        <w:rPr>
          <w:rFonts w:hint="eastAsia" w:ascii="仿宋_GB2312" w:hAnsi="宋体" w:eastAsia="仿宋_GB2312" w:cs="仿宋_GB2312"/>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（六）谈判</w:t>
      </w:r>
      <w:r>
        <w:rPr>
          <w:rFonts w:hint="eastAsia" w:ascii="仿宋_GB2312" w:hAnsi="宋体" w:eastAsia="仿宋_GB2312" w:cs="仿宋_GB2312"/>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lang w:val="zh-CN"/>
        </w:rPr>
        <w:t>所有报价均以人民币为货币单位</w:t>
      </w:r>
      <w:r>
        <w:rPr>
          <w:rFonts w:hint="eastAsia" w:ascii="仿宋_GB2312" w:hAnsi="宋体" w:eastAsia="仿宋_GB2312" w:cs="仿宋_GB2312"/>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所有单价和总价按照报价一览表和合同格式要求填报。</w:t>
      </w:r>
      <w:r>
        <w:rPr>
          <w:rFonts w:hint="eastAsia" w:ascii="仿宋_GB2312" w:hAnsi="宋体" w:eastAsia="仿宋_GB2312" w:cs="仿宋_GB2312"/>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对同一种货物每次报价只允许有一种报价，采购机构不接受任何有选择的报价。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pPr>
        <w:tabs>
          <w:tab w:val="left" w:pos="-1418"/>
        </w:tabs>
        <w:autoSpaceDE w:val="0"/>
        <w:autoSpaceDN w:val="0"/>
        <w:ind w:firstLine="622" w:firstLineChars="200"/>
        <w:rPr>
          <w:rFonts w:ascii="仿宋_GB2312" w:hAnsi="宋体" w:eastAsia="仿宋_GB2312" w:cs="Times New Roman"/>
          <w:snapToGrid w:val="0"/>
          <w:color w:val="FF0000"/>
          <w:kern w:val="0"/>
          <w:sz w:val="32"/>
          <w:szCs w:val="32"/>
        </w:rPr>
      </w:pPr>
      <w:r>
        <w:rPr>
          <w:rFonts w:hint="eastAsia" w:ascii="仿宋_GB2312" w:hAnsi="宋体" w:eastAsia="仿宋_GB2312" w:cs="仿宋_GB2312"/>
          <w:color w:val="FF0000"/>
          <w:kern w:val="0"/>
          <w:sz w:val="32"/>
          <w:szCs w:val="32"/>
        </w:rPr>
        <w:t>（七）</w:t>
      </w:r>
      <w:r>
        <w:rPr>
          <w:rFonts w:hint="eastAsia" w:ascii="仿宋_GB2312" w:hAnsi="宋体" w:eastAsia="仿宋_GB2312" w:cs="仿宋_GB2312"/>
          <w:snapToGrid w:val="0"/>
          <w:color w:val="FF0000"/>
          <w:kern w:val="0"/>
          <w:sz w:val="32"/>
          <w:szCs w:val="32"/>
        </w:rPr>
        <w:t>谈判保证金</w:t>
      </w:r>
    </w:p>
    <w:p>
      <w:pPr>
        <w:tabs>
          <w:tab w:val="left" w:pos="-1418"/>
        </w:tabs>
        <w:autoSpaceDE w:val="0"/>
        <w:autoSpaceDN w:val="0"/>
        <w:ind w:firstLine="622" w:firstLineChars="200"/>
        <w:rPr>
          <w:rFonts w:ascii="仿宋_GB2312" w:hAnsi="宋体" w:eastAsia="仿宋_GB2312" w:cs="Times New Roman"/>
          <w:color w:val="FF0000"/>
          <w:kern w:val="0"/>
          <w:sz w:val="32"/>
          <w:szCs w:val="32"/>
        </w:rPr>
      </w:pPr>
      <w:r>
        <w:rPr>
          <w:rFonts w:ascii="仿宋_GB2312" w:hAnsi="宋体" w:eastAsia="仿宋_GB2312" w:cs="仿宋_GB2312"/>
          <w:snapToGrid w:val="0"/>
          <w:color w:val="FF0000"/>
          <w:kern w:val="0"/>
          <w:sz w:val="32"/>
          <w:szCs w:val="32"/>
        </w:rPr>
        <w:t>1.</w:t>
      </w:r>
      <w:r>
        <w:rPr>
          <w:rFonts w:hint="eastAsia" w:ascii="仿宋_GB2312" w:hAnsi="宋体" w:eastAsia="仿宋_GB2312" w:cs="仿宋_GB2312"/>
          <w:color w:val="FF0000"/>
          <w:kern w:val="0"/>
          <w:sz w:val="32"/>
          <w:szCs w:val="32"/>
          <w:lang w:val="zh-CN"/>
        </w:rPr>
        <w:t>报价方应当在报价截止时间前向采购机构交纳</w:t>
      </w:r>
      <w:r>
        <w:rPr>
          <w:rFonts w:hint="eastAsia" w:ascii="仿宋_GB2312" w:hAnsi="宋体" w:eastAsia="仿宋_GB2312" w:cs="仿宋_GB2312"/>
          <w:color w:val="FF0000"/>
          <w:kern w:val="0"/>
          <w:sz w:val="32"/>
          <w:szCs w:val="32"/>
          <w:u w:val="single"/>
          <w:lang w:val="en-US" w:eastAsia="zh-CN"/>
        </w:rPr>
        <w:t>6000</w:t>
      </w:r>
      <w:r>
        <w:rPr>
          <w:rFonts w:hint="eastAsia" w:ascii="仿宋_GB2312" w:hAnsi="宋体" w:eastAsia="仿宋_GB2312" w:cs="仿宋_GB2312"/>
          <w:color w:val="FF0000"/>
          <w:kern w:val="0"/>
          <w:sz w:val="32"/>
          <w:szCs w:val="32"/>
          <w:lang w:val="zh-CN"/>
        </w:rPr>
        <w:t>元报价保证金</w:t>
      </w:r>
      <w:r>
        <w:rPr>
          <w:rFonts w:hint="eastAsia" w:ascii="仿宋_GB2312" w:hAnsi="宋体" w:eastAsia="仿宋_GB2312" w:cs="仿宋_GB2312"/>
          <w:color w:val="FF0000"/>
          <w:kern w:val="0"/>
          <w:sz w:val="32"/>
          <w:szCs w:val="32"/>
        </w:rPr>
        <w:t>。</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2.</w:t>
      </w:r>
      <w:r>
        <w:rPr>
          <w:rFonts w:hint="eastAsia" w:ascii="仿宋_GB2312" w:hAnsi="宋体" w:eastAsia="仿宋_GB2312" w:cs="仿宋_GB2312"/>
          <w:color w:val="FF0000"/>
          <w:kern w:val="0"/>
          <w:sz w:val="32"/>
          <w:szCs w:val="32"/>
          <w:lang w:val="zh-CN"/>
        </w:rPr>
        <w:t>投标保证金作为供应商投标的组成部分，与投标文件一同递交。</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ascii="仿宋_GB2312" w:hAnsi="宋体" w:eastAsia="仿宋_GB2312" w:cs="仿宋_GB2312"/>
          <w:color w:val="FF0000"/>
          <w:kern w:val="0"/>
          <w:sz w:val="32"/>
          <w:szCs w:val="32"/>
          <w:lang w:val="zh-CN"/>
        </w:rPr>
        <w:t>3.</w:t>
      </w:r>
      <w:r>
        <w:rPr>
          <w:rFonts w:hint="eastAsia" w:ascii="仿宋_GB2312" w:hAnsi="宋体" w:eastAsia="仿宋_GB2312" w:cs="仿宋_GB2312"/>
          <w:color w:val="FF0000"/>
          <w:kern w:val="0"/>
          <w:sz w:val="32"/>
          <w:szCs w:val="32"/>
          <w:lang w:val="zh-CN"/>
        </w:rPr>
        <w:t>投标保证金应当以</w:t>
      </w:r>
      <w:r>
        <w:rPr>
          <w:rFonts w:hint="eastAsia" w:ascii="仿宋_GB2312" w:hAnsi="宋体" w:eastAsia="仿宋_GB2312" w:cs="仿宋_GB2312"/>
          <w:color w:val="FF0000"/>
          <w:kern w:val="0"/>
          <w:sz w:val="32"/>
          <w:szCs w:val="32"/>
          <w:lang w:val="en-US" w:eastAsia="zh-CN"/>
        </w:rPr>
        <w:t>下列方式交纳：公对公转账</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收款单位名称：广州宝诚招标代理咨询有限公司</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开户银行：广发银行广州龙洞支行</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投标保证金账号：</w:t>
      </w:r>
      <w:r>
        <w:rPr>
          <w:rFonts w:ascii="仿宋_GB2312" w:hAnsi="宋体" w:eastAsia="仿宋_GB2312" w:cs="仿宋_GB2312"/>
          <w:color w:val="FF0000"/>
          <w:kern w:val="0"/>
          <w:sz w:val="32"/>
          <w:szCs w:val="32"/>
          <w:lang w:val="zh-CN"/>
        </w:rPr>
        <w:t>9550 8802 0090 0000 188</w:t>
      </w:r>
    </w:p>
    <w:p>
      <w:pPr>
        <w:tabs>
          <w:tab w:val="left" w:pos="-1418"/>
        </w:tabs>
        <w:autoSpaceDE w:val="0"/>
        <w:autoSpaceDN w:val="0"/>
        <w:ind w:firstLine="622" w:firstLineChars="200"/>
        <w:rPr>
          <w:rFonts w:ascii="仿宋_GB2312" w:hAnsi="宋体" w:eastAsia="仿宋_GB2312" w:cs="仿宋_GB2312"/>
          <w:color w:val="FF0000"/>
          <w:kern w:val="0"/>
          <w:sz w:val="32"/>
          <w:szCs w:val="32"/>
          <w:lang w:val="zh-CN"/>
        </w:rPr>
      </w:pPr>
      <w:r>
        <w:rPr>
          <w:rFonts w:hint="eastAsia" w:ascii="仿宋_GB2312" w:hAnsi="宋体" w:eastAsia="仿宋_GB2312" w:cs="仿宋_GB2312"/>
          <w:color w:val="FF0000"/>
          <w:kern w:val="0"/>
          <w:sz w:val="32"/>
          <w:szCs w:val="32"/>
          <w:lang w:val="zh-CN"/>
        </w:rPr>
        <w:t>传真号码：</w:t>
      </w:r>
      <w:r>
        <w:rPr>
          <w:rFonts w:ascii="仿宋_GB2312" w:hAnsi="宋体" w:eastAsia="仿宋_GB2312" w:cs="仿宋_GB2312"/>
          <w:color w:val="FF0000"/>
          <w:kern w:val="0"/>
          <w:sz w:val="32"/>
          <w:szCs w:val="32"/>
          <w:lang w:val="zh-CN"/>
        </w:rPr>
        <w:t>020-37887429</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注：投标人请在缴款凭证</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备注</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栏写明</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GZBC20FG01002</w:t>
      </w:r>
      <w:r>
        <w:rPr>
          <w:rFonts w:ascii="仿宋_GB2312" w:hAnsi="宋体" w:eastAsia="仿宋_GB2312" w:cs="仿宋_GB2312"/>
          <w:color w:val="FF0000"/>
          <w:kern w:val="0"/>
          <w:sz w:val="32"/>
          <w:szCs w:val="32"/>
          <w:lang w:val="zh-CN"/>
        </w:rPr>
        <w:t>"</w:t>
      </w:r>
      <w:r>
        <w:rPr>
          <w:rFonts w:hint="eastAsia" w:ascii="仿宋_GB2312" w:hAnsi="宋体" w:eastAsia="仿宋_GB2312" w:cs="仿宋_GB2312"/>
          <w:color w:val="FF0000"/>
          <w:kern w:val="0"/>
          <w:sz w:val="32"/>
          <w:szCs w:val="32"/>
          <w:lang w:val="zh-CN"/>
        </w:rPr>
        <w:t>，以便查询。</w:t>
      </w:r>
    </w:p>
    <w:p>
      <w:pPr>
        <w:tabs>
          <w:tab w:val="left" w:pos="-1418"/>
        </w:tabs>
        <w:autoSpaceDE w:val="0"/>
        <w:autoSpaceDN w:val="0"/>
        <w:ind w:firstLine="622" w:firstLineChars="200"/>
        <w:rPr>
          <w:rFonts w:ascii="仿宋_GB2312" w:hAnsi="宋体" w:eastAsia="仿宋_GB2312" w:cs="Times New Roman"/>
          <w:color w:val="FF0000"/>
          <w:kern w:val="0"/>
          <w:sz w:val="32"/>
          <w:szCs w:val="32"/>
          <w:lang w:val="zh-CN"/>
        </w:rPr>
      </w:pPr>
      <w:r>
        <w:rPr>
          <w:rFonts w:hint="eastAsia" w:ascii="仿宋_GB2312" w:hAnsi="宋体" w:eastAsia="仿宋_GB2312" w:cs="仿宋_GB2312"/>
          <w:color w:val="FF0000"/>
          <w:kern w:val="0"/>
          <w:sz w:val="32"/>
          <w:szCs w:val="32"/>
          <w:lang w:val="zh-CN"/>
        </w:rPr>
        <w:t>如投标人未按上述规定提交投标保证金，其投标文件将被拒绝。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成交供应商的谈判保证金，在成交供应商与采购机构签订正式合同后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个工作日内全额无息退还。未成交报价方的谈判保证金，在采购机构发出未成交通知书后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有下列情况之一的，谈判保证金将被没收：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谈判开始后，报价方撤回其报价文件的；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谈判期间，报价方干扰谈判活动，造成严重影响和后果的；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成交供应商不按规定签订合同的；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其他违反国家和军队法律法规行为的。</w:t>
      </w:r>
    </w:p>
    <w:p>
      <w:pPr>
        <w:tabs>
          <w:tab w:val="left" w:pos="-1418"/>
        </w:tabs>
        <w:autoSpaceDE w:val="0"/>
        <w:autoSpaceDN w:val="0"/>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（一）报价文件密封及标记</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报价方应当将报价</w:t>
      </w:r>
      <w:r>
        <w:rPr>
          <w:rFonts w:hint="eastAsia" w:ascii="仿宋_GB2312" w:hAnsi="宋体" w:eastAsia="仿宋_GB2312" w:cs="仿宋_GB2312"/>
          <w:kern w:val="0"/>
          <w:sz w:val="32"/>
          <w:szCs w:val="32"/>
          <w:lang w:val="zh-CN"/>
        </w:rPr>
        <w:t>文件的正本和副本统一装入密封袋内，封口处应当有报价方单位公章，封面</w:t>
      </w:r>
      <w:r>
        <w:rPr>
          <w:rFonts w:hint="eastAsia" w:ascii="仿宋_GB2312" w:hAnsi="宋体" w:eastAsia="仿宋_GB2312" w:cs="仿宋_GB2312"/>
          <w:kern w:val="0"/>
          <w:sz w:val="32"/>
          <w:szCs w:val="32"/>
        </w:rPr>
        <w:t>上注明“报价文件、谈判项目名称、项目编号、包号、</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名称”和“谈判时启封”字样。</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报价方应当在谈判文件明确的提交报价文件截止时间前，由谈判全权代表将报价文件送达采购机构指定地点。逾期提交的报价文件，采购机构将拒收。</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报价文件未按要求密封、标记的，采购机构将拒绝接收。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（二）</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报价方在报价文件提交截止时间前，可以对所提交的报价文件进行补充、修改或者撤回。补充、修改的内容应当以书面形式通知采购机构，并按照谈判文件要求签署、盖章，作为报价文件的组成部分。</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报价方修改补充报价文件的书面材料，须密封送达采购机构指定地点，并在封面上注明“报价修改文件、项目名称、项目编号、报价方名称”和“谈判时启封”字样。</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3.</w:t>
      </w:r>
      <w:r>
        <w:rPr>
          <w:rFonts w:hint="eastAsia" w:ascii="仿宋_GB2312" w:hAnsi="宋体" w:eastAsia="仿宋_GB2312" w:cs="仿宋_GB2312"/>
          <w:kern w:val="0"/>
          <w:sz w:val="32"/>
          <w:szCs w:val="32"/>
          <w:lang w:val="zh-CN"/>
        </w:rPr>
        <w:t>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谈判开始后，报价方不得撤回报价文件，否则谈判保证金不予退还。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五、谈判报价与评审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（一）谈判小组</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采购机构根据规定组建谈判小组。其成员由经济、技术等方面的专家和采购机构代表组成，其中技术、经济类专家不少于三分之二。</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（二）谈判方式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本次谈判采取</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轮谈判</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次报价的方式。确需增加谈判报价轮次的，在谈判过程中经谈判小组（五分之四以上评委）认定可以增加，但应当在评审报告中注明理由。</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（三）评审要求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评审原则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严格遵守公平、公正、择优的原则；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对所有响应谈判文件实质性要求的报价方一视同仁；</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kern w:val="0"/>
          <w:sz w:val="32"/>
          <w:szCs w:val="32"/>
        </w:rPr>
        <w:t>(3)</w:t>
      </w:r>
      <w:r>
        <w:rPr>
          <w:rFonts w:hint="eastAsia" w:ascii="仿宋_GB2312" w:hAnsi="宋体" w:eastAsia="仿宋_GB2312" w:cs="仿宋_GB2312"/>
          <w:snapToGrid w:val="0"/>
          <w:kern w:val="0"/>
          <w:sz w:val="32"/>
          <w:szCs w:val="32"/>
          <w:lang w:val="zh-CN"/>
        </w:rPr>
        <w:t>综合比较货物性能、质量、价格、交货期、售后服务等因素，确定评审排序结果；</w:t>
      </w:r>
    </w:p>
    <w:p>
      <w:pPr>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(4)</w:t>
      </w:r>
      <w:r>
        <w:rPr>
          <w:rFonts w:hint="eastAsia" w:ascii="仿宋_GB2312" w:hAnsi="宋体" w:eastAsia="仿宋_GB2312" w:cs="仿宋_GB2312"/>
          <w:snapToGrid w:val="0"/>
          <w:kern w:val="0"/>
          <w:sz w:val="32"/>
          <w:szCs w:val="32"/>
          <w:lang w:val="zh-CN"/>
        </w:rPr>
        <w:t>报价最低不作为成交的保证。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评审有关要求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谈判小组应当公平、公正、客观，不带任何倾向性和启发性，谈判小组及有关工作人员不得私下与报价方接触。</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评审过程严格保密。凡是属于审查、澄清、评价和比较有关的资料以及成交建议等，所有知情人均不得向报价方或其他无关的人员透露。</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任何单位和个人都不得干扰、影响谈判活动的正常进行。报价方在谈判过程中所进行的试图影响成交结果的一切不符合法律或谈判规定的活动，都可能导致其报价被拒绝。</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（四）评审方法</w:t>
      </w:r>
    </w:p>
    <w:p>
      <w:pPr>
        <w:ind w:firstLine="622" w:firstLineChars="200"/>
        <w:rPr>
          <w:rFonts w:ascii="仿宋_GB2312" w:hAnsi="宋体" w:eastAsia="仿宋_GB2312" w:cs="Times New Roman"/>
          <w:sz w:val="32"/>
          <w:szCs w:val="32"/>
        </w:rPr>
      </w:pPr>
      <w:r>
        <w:rPr>
          <w:rFonts w:hint="eastAsia" w:ascii="仿宋_GB2312" w:hAnsi="宋体" w:eastAsia="仿宋_GB2312" w:cs="仿宋_GB2312"/>
          <w:sz w:val="32"/>
          <w:szCs w:val="32"/>
        </w:rPr>
        <w:t>综合评分法。技术和商务评审（依据表</w:t>
      </w:r>
      <w:r>
        <w:rPr>
          <w:rFonts w:ascii="仿宋_GB2312" w:hAnsi="宋体" w:eastAsia="仿宋_GB2312" w:cs="仿宋_GB2312"/>
          <w:sz w:val="32"/>
          <w:szCs w:val="32"/>
        </w:rPr>
        <w:t>2</w:t>
      </w:r>
      <w:r>
        <w:rPr>
          <w:rFonts w:hint="eastAsia" w:ascii="仿宋_GB2312" w:hAnsi="宋体" w:eastAsia="仿宋_GB2312" w:cs="仿宋_GB2312"/>
          <w:sz w:val="32"/>
          <w:szCs w:val="32"/>
        </w:rPr>
        <w:t>至表</w:t>
      </w:r>
      <w:r>
        <w:rPr>
          <w:rFonts w:ascii="仿宋_GB2312" w:hAnsi="宋体" w:eastAsia="仿宋_GB2312" w:cs="仿宋_GB2312"/>
          <w:sz w:val="32"/>
          <w:szCs w:val="32"/>
        </w:rPr>
        <w:t>5</w:t>
      </w:r>
      <w:r>
        <w:rPr>
          <w:rFonts w:hint="eastAsia" w:ascii="仿宋_GB2312" w:hAnsi="宋体" w:eastAsia="仿宋_GB2312" w:cs="仿宋_GB2312"/>
          <w:sz w:val="32"/>
          <w:szCs w:val="32"/>
        </w:rPr>
        <w:t>）总得分由高到低顺序排列，最高的报价方作为预成交供应商；得分相同的，按照报价由低到高顺序排列；得分且报价相同的，按照技术评审得分由高到低顺序排列。</w:t>
      </w:r>
    </w:p>
    <w:p>
      <w:pPr>
        <w:ind w:firstLine="622" w:firstLineChars="200"/>
        <w:rPr>
          <w:rFonts w:ascii="仿宋_GB2312" w:hAnsi="宋体" w:eastAsia="仿宋_GB2312" w:cs="Times New Roman"/>
          <w:sz w:val="32"/>
          <w:szCs w:val="32"/>
        </w:rPr>
      </w:pPr>
      <w:r>
        <w:rPr>
          <w:rFonts w:hint="eastAsia" w:ascii="仿宋_GB2312" w:hAnsi="宋体" w:eastAsia="仿宋_GB2312" w:cs="仿宋_GB2312"/>
          <w:sz w:val="32"/>
          <w:szCs w:val="32"/>
        </w:rPr>
        <w:t>谈判小组成员技术、商务（不含价格因素）最终评分偏离谈判小组全体成员评分均值±</w:t>
      </w:r>
      <w:r>
        <w:rPr>
          <w:rFonts w:ascii="仿宋_GB2312" w:hAnsi="宋体" w:eastAsia="仿宋_GB2312" w:cs="仿宋_GB2312"/>
          <w:sz w:val="32"/>
          <w:szCs w:val="32"/>
        </w:rPr>
        <w:t>20%</w:t>
      </w:r>
      <w:r>
        <w:rPr>
          <w:rFonts w:hint="eastAsia" w:ascii="仿宋_GB2312" w:hAnsi="宋体" w:eastAsia="仿宋_GB2312" w:cs="仿宋_GB2312"/>
          <w:sz w:val="32"/>
          <w:szCs w:val="32"/>
        </w:rPr>
        <w:t>的，该成员的评分将被剔除，以其他评委的评分均值计算，作为该成员的评分计入总分值；谈判小组所有成员评分均超出±</w:t>
      </w:r>
      <w:r>
        <w:rPr>
          <w:rFonts w:ascii="仿宋_GB2312" w:hAnsi="宋体" w:eastAsia="仿宋_GB2312" w:cs="仿宋_GB2312"/>
          <w:sz w:val="32"/>
          <w:szCs w:val="32"/>
        </w:rPr>
        <w:t>20%</w:t>
      </w:r>
      <w:r>
        <w:rPr>
          <w:rFonts w:hint="eastAsia" w:ascii="仿宋_GB2312" w:hAnsi="宋体" w:eastAsia="仿宋_GB2312" w:cs="仿宋_GB2312"/>
          <w:sz w:val="32"/>
          <w:szCs w:val="32"/>
        </w:rPr>
        <w:t>时，直接以全体成员评分均值计算，不再剔除。</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sz w:val="32"/>
          <w:szCs w:val="32"/>
        </w:rPr>
        <w:t>采用综合评分法评审时，报价方报价高于全体有效报价方报价平均值</w:t>
      </w:r>
      <w:r>
        <w:rPr>
          <w:rFonts w:ascii="仿宋_GB2312" w:hAnsi="宋体" w:eastAsia="仿宋_GB2312" w:cs="仿宋_GB2312"/>
          <w:sz w:val="32"/>
          <w:szCs w:val="32"/>
        </w:rPr>
        <w:t>40%</w:t>
      </w:r>
      <w:r>
        <w:rPr>
          <w:rFonts w:hint="eastAsia" w:ascii="仿宋_GB2312" w:hAnsi="宋体" w:eastAsia="仿宋_GB2312" w:cs="仿宋_GB2312"/>
          <w:sz w:val="32"/>
          <w:szCs w:val="32"/>
        </w:rPr>
        <w:t>以上的，不得推荐为预成交供应商。报价方的技术、商务（不含价格因素）得分低于全体有效报价方的技术、商务得分平均值</w:t>
      </w:r>
      <w:r>
        <w:rPr>
          <w:rFonts w:ascii="仿宋_GB2312" w:hAnsi="宋体" w:eastAsia="仿宋_GB2312" w:cs="仿宋_GB2312"/>
          <w:sz w:val="32"/>
          <w:szCs w:val="32"/>
        </w:rPr>
        <w:t>30%</w:t>
      </w:r>
      <w:r>
        <w:rPr>
          <w:rFonts w:hint="eastAsia" w:ascii="仿宋_GB2312" w:hAnsi="宋体" w:eastAsia="仿宋_GB2312" w:cs="仿宋_GB2312"/>
          <w:sz w:val="32"/>
          <w:szCs w:val="32"/>
        </w:rPr>
        <w:t>以上的，不得推荐为预成交供应商。</w:t>
      </w:r>
    </w:p>
    <w:p>
      <w:pPr>
        <w:rPr>
          <w:rFonts w:ascii="黑体" w:hAnsi="黑体" w:eastAsia="黑体" w:cs="黑体"/>
          <w:kern w:val="0"/>
          <w:sz w:val="32"/>
          <w:szCs w:val="32"/>
        </w:rPr>
      </w:pPr>
      <w:r>
        <w:rPr>
          <w:rFonts w:ascii="Times New Roman" w:hAnsi="Times New Roman" w:cs="Times New Roman"/>
          <w:color w:val="3366FF"/>
          <w:kern w:val="0"/>
          <w:sz w:val="28"/>
          <w:szCs w:val="28"/>
        </w:rPr>
        <w:br w:type="page"/>
      </w:r>
      <w:r>
        <w:rPr>
          <w:rFonts w:hint="eastAsia" w:ascii="黑体" w:hAnsi="黑体" w:eastAsia="黑体" w:cs="黑体"/>
          <w:kern w:val="0"/>
          <w:sz w:val="32"/>
          <w:szCs w:val="32"/>
        </w:rPr>
        <w:t>表</w:t>
      </w:r>
      <w:r>
        <w:rPr>
          <w:rFonts w:ascii="黑体" w:hAnsi="黑体" w:eastAsia="黑体" w:cs="黑体"/>
          <w:kern w:val="0"/>
          <w:sz w:val="32"/>
          <w:szCs w:val="32"/>
        </w:rPr>
        <w:t>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方正小标宋简体"/>
          <w:kern w:val="0"/>
          <w:sz w:val="36"/>
          <w:szCs w:val="36"/>
        </w:rPr>
        <w:t>资格性和符合性审查表</w:t>
      </w:r>
    </w:p>
    <w:p>
      <w:pPr>
        <w:rPr>
          <w:rFonts w:ascii="Times New Roman" w:hAnsi="Times New Roman" w:cs="Times New Roman"/>
          <w:kern w:val="0"/>
          <w:sz w:val="24"/>
          <w:szCs w:val="24"/>
        </w:rPr>
      </w:pPr>
      <w:r>
        <w:rPr>
          <w:rFonts w:hint="eastAsia" w:ascii="Times New Roman" w:hAnsi="Times New Roman" w:cs="宋体"/>
          <w:kern w:val="0"/>
          <w:sz w:val="24"/>
          <w:szCs w:val="24"/>
        </w:rPr>
        <w:t>项目名称：</w:t>
      </w:r>
      <w:r>
        <w:rPr>
          <w:rFonts w:hint="eastAsia" w:ascii="Times New Roman" w:hAnsi="Times New Roman" w:cs="宋体"/>
          <w:kern w:val="0"/>
          <w:sz w:val="24"/>
          <w:szCs w:val="24"/>
          <w:lang w:eastAsia="zh-CN"/>
        </w:rPr>
        <w:t>医院门诊电子显示屏更换</w:t>
      </w:r>
      <w:r>
        <w:rPr>
          <w:rFonts w:hint="eastAsia" w:ascii="Times New Roman" w:hAnsi="Times New Roman" w:cs="宋体"/>
          <w:kern w:val="0"/>
          <w:sz w:val="24"/>
          <w:szCs w:val="24"/>
        </w:rPr>
        <w:t>项目编号：</w:t>
      </w:r>
      <w:r>
        <w:rPr>
          <w:rFonts w:hint="eastAsia" w:ascii="Times New Roman" w:hAnsi="Times New Roman" w:cs="Times New Roman"/>
          <w:kern w:val="0"/>
          <w:sz w:val="24"/>
          <w:szCs w:val="24"/>
          <w:lang w:eastAsia="zh-CN"/>
        </w:rPr>
        <w:t>GZBC20FG01002</w:t>
      </w:r>
      <w:r>
        <w:rPr>
          <w:rFonts w:ascii="Times New Roman" w:hAnsi="Times New Roman" w:cs="Times New Roman"/>
          <w:kern w:val="0"/>
          <w:sz w:val="24"/>
          <w:szCs w:val="24"/>
        </w:rPr>
        <w:t xml:space="preserve">                            </w:t>
      </w:r>
      <w:r>
        <w:rPr>
          <w:rFonts w:hint="eastAsia" w:ascii="Times New Roman" w:hAnsi="Times New Roman" w:cs="宋体"/>
          <w:kern w:val="0"/>
          <w:sz w:val="24"/>
          <w:szCs w:val="24"/>
        </w:rPr>
        <w:t>包号：</w:t>
      </w:r>
    </w:p>
    <w:tbl>
      <w:tblPr>
        <w:tblStyle w:val="17"/>
        <w:tblW w:w="9060" w:type="dxa"/>
        <w:jc w:val="center"/>
        <w:tblLayout w:type="fixed"/>
        <w:tblCellMar>
          <w:top w:w="0" w:type="dxa"/>
          <w:left w:w="108" w:type="dxa"/>
          <w:bottom w:w="0" w:type="dxa"/>
          <w:right w:w="108" w:type="dxa"/>
        </w:tblCellMar>
      </w:tblPr>
      <w:tblGrid>
        <w:gridCol w:w="5853"/>
        <w:gridCol w:w="1069"/>
        <w:gridCol w:w="1069"/>
        <w:gridCol w:w="1069"/>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审查项目</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是否合格</w:t>
            </w:r>
          </w:p>
        </w:tc>
        <w:tc>
          <w:tcPr>
            <w:tcW w:w="1069" w:type="dxa"/>
            <w:vMerge w:val="restart"/>
            <w:tcBorders>
              <w:top w:val="single" w:color="auto" w:sz="4" w:space="0"/>
              <w:left w:val="nil"/>
              <w:right w:val="single" w:color="auto" w:sz="4" w:space="0"/>
            </w:tcBorders>
            <w:vAlign w:val="center"/>
          </w:tcPr>
          <w:p>
            <w:pPr>
              <w:spacing w:line="240" w:lineRule="exact"/>
              <w:jc w:val="center"/>
              <w:rPr>
                <w:rFonts w:ascii="黑体" w:hAnsi="黑体" w:eastAsia="黑体" w:cs="Times New Roman"/>
                <w:kern w:val="0"/>
              </w:rPr>
            </w:pPr>
            <w:r>
              <w:rPr>
                <w:rFonts w:hint="eastAsia" w:ascii="黑体" w:hAnsi="黑体" w:eastAsia="黑体" w:cs="黑体"/>
                <w:kern w:val="0"/>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kern w:val="0"/>
              </w:rPr>
            </w:pPr>
            <w:r>
              <w:rPr>
                <w:rFonts w:hint="eastAsia" w:ascii="黑体" w:hAnsi="黑体" w:eastAsia="黑体" w:cs="黑体"/>
                <w:kern w:val="0"/>
              </w:rPr>
              <w:t>报价方</w:t>
            </w:r>
            <w:r>
              <w:rPr>
                <w:rFonts w:ascii="黑体" w:hAnsi="黑体" w:eastAsia="黑体" w:cs="黑体"/>
                <w:kern w:val="0"/>
              </w:rPr>
              <w:t>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Times New Roman"/>
                <w:kern w:val="0"/>
              </w:rPr>
            </w:pPr>
            <w:r>
              <w:rPr>
                <w:rFonts w:hint="eastAsia" w:ascii="黑体" w:hAnsi="黑体" w:eastAsia="黑体" w:cs="黑体"/>
                <w:kern w:val="0"/>
              </w:rPr>
              <w:t>……</w:t>
            </w:r>
          </w:p>
        </w:tc>
        <w:tc>
          <w:tcPr>
            <w:tcW w:w="1069" w:type="dxa"/>
            <w:vMerge w:val="continue"/>
            <w:tcBorders>
              <w:left w:val="nil"/>
              <w:bottom w:val="single" w:color="auto" w:sz="4" w:space="0"/>
              <w:right w:val="single" w:color="auto" w:sz="4" w:space="0"/>
            </w:tcBorders>
            <w:vAlign w:val="center"/>
          </w:tcPr>
          <w:p>
            <w:pPr>
              <w:widowControl/>
              <w:spacing w:line="240" w:lineRule="exact"/>
              <w:jc w:val="center"/>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Times New Roman"/>
                <w:kern w:val="0"/>
              </w:rPr>
            </w:pPr>
            <w:r>
              <w:rPr>
                <w:rFonts w:hint="eastAsia" w:ascii="黑体" w:hAnsi="宋体" w:eastAsia="黑体" w:cs="黑体"/>
                <w:kern w:val="0"/>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1.</w:t>
            </w:r>
            <w:r>
              <w:rPr>
                <w:rFonts w:hint="eastAsia" w:ascii="宋体" w:hAnsi="宋体" w:cs="宋体"/>
                <w:kern w:val="0"/>
              </w:rPr>
              <w:t>工商营业执照、组织机构代码证、税务登记证</w:t>
            </w:r>
            <w:r>
              <w:rPr>
                <w:rFonts w:hint="eastAsia" w:ascii="宋体" w:hAnsi="宋体" w:cs="宋体"/>
                <w:kern w:val="0"/>
                <w:lang w:eastAsia="zh-CN"/>
              </w:rPr>
              <w:t>（</w:t>
            </w:r>
            <w:r>
              <w:rPr>
                <w:rFonts w:hint="eastAsia" w:ascii="宋体" w:hAnsi="宋体" w:cs="宋体"/>
                <w:kern w:val="0"/>
                <w:lang w:val="en-US" w:eastAsia="zh-CN"/>
              </w:rPr>
              <w:t>三证合一的不需提供</w:t>
            </w:r>
            <w:r>
              <w:rPr>
                <w:rFonts w:hint="eastAsia" w:ascii="宋体" w:hAnsi="宋体" w:cs="宋体"/>
                <w:kern w:val="0"/>
                <w:lang w:eastAsia="zh-CN"/>
              </w:rPr>
              <w:t>）</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2.</w:t>
            </w:r>
            <w:r>
              <w:rPr>
                <w:rFonts w:hint="eastAsia" w:ascii="宋体" w:hAnsi="宋体" w:cs="宋体"/>
                <w:kern w:val="0"/>
              </w:rPr>
              <w:t>法定代表人资格证明书和授权书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snapToGrid w:val="0"/>
                <w:kern w:val="0"/>
              </w:rPr>
            </w:pPr>
            <w:r>
              <w:rPr>
                <w:rFonts w:ascii="宋体" w:hAnsi="宋体" w:cs="宋体"/>
                <w:kern w:val="0"/>
              </w:rPr>
              <w:t>3.</w:t>
            </w:r>
            <w:r>
              <w:rPr>
                <w:rFonts w:hint="eastAsia" w:ascii="宋体" w:hAnsi="宋体" w:cs="宋体"/>
                <w:kern w:val="0"/>
              </w:rPr>
              <w:t>报价方关于资格的声明函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Times New Roman"/>
                <w:kern w:val="0"/>
              </w:rPr>
            </w:pPr>
            <w:r>
              <w:rPr>
                <w:rFonts w:ascii="宋体" w:hAnsi="宋体" w:cs="宋体"/>
                <w:kern w:val="0"/>
              </w:rPr>
              <w:t>4</w:t>
            </w:r>
            <w:r>
              <w:rPr>
                <w:rFonts w:ascii="宋体" w:cs="宋体"/>
                <w:kern w:val="0"/>
              </w:rPr>
              <w:t>.</w:t>
            </w:r>
            <w:r>
              <w:rPr>
                <w:rFonts w:hint="eastAsia" w:ascii="宋体" w:hAnsi="宋体" w:cs="宋体"/>
                <w:kern w:val="0"/>
              </w:rPr>
              <w:t>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Times New Roman"/>
                <w:kern w:val="0"/>
              </w:rPr>
            </w:pPr>
            <w:r>
              <w:rPr>
                <w:rFonts w:hint="eastAsia" w:ascii="黑体" w:hAnsi="宋体" w:eastAsia="黑体" w:cs="黑体"/>
                <w:kern w:val="0"/>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报价文件密封完好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报价文件签署、盖章齐全完整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3.</w:t>
            </w:r>
            <w:r>
              <w:rPr>
                <w:rFonts w:hint="eastAsia" w:ascii="宋体" w:hAnsi="宋体" w:cs="宋体"/>
              </w:rPr>
              <w:t>报价文件组成齐全完整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4.</w:t>
            </w:r>
            <w:r>
              <w:rPr>
                <w:rFonts w:hint="eastAsia" w:ascii="宋体" w:hAnsi="宋体" w:cs="宋体"/>
              </w:rPr>
              <w:t>报价文件有效期满足谈判文件要求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5.</w:t>
            </w:r>
            <w:r>
              <w:rPr>
                <w:rFonts w:hint="eastAsia" w:ascii="宋体" w:hAnsi="宋体" w:cs="宋体"/>
              </w:rPr>
              <w:t>谈判保证金满足谈判文件要求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r>
              <w:rPr>
                <w:rFonts w:ascii="宋体" w:hAnsi="宋体" w:cs="宋体"/>
              </w:rPr>
              <w:t>6.</w:t>
            </w:r>
            <w:r>
              <w:rPr>
                <w:rFonts w:hint="eastAsia" w:ascii="宋体" w:hAnsi="宋体" w:cs="宋体"/>
              </w:rPr>
              <w:t>其他内容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Times New Roman"/>
                <w:kern w:val="0"/>
              </w:rPr>
            </w:pPr>
            <w:r>
              <w:rPr>
                <w:rFonts w:hint="eastAsia" w:ascii="黑体" w:hAnsi="宋体" w:eastAsia="黑体" w:cs="黑体"/>
                <w:kern w:val="0"/>
              </w:rPr>
              <w:t>综合评定</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宋体" w:cs="Times New Roman"/>
                <w:kern w:val="0"/>
              </w:rPr>
            </w:pPr>
          </w:p>
        </w:tc>
      </w:tr>
      <w:tr>
        <w:tblPrEx>
          <w:tblCellMar>
            <w:top w:w="0" w:type="dxa"/>
            <w:left w:w="108" w:type="dxa"/>
            <w:bottom w:w="0" w:type="dxa"/>
            <w:right w:w="108" w:type="dxa"/>
          </w:tblCellMar>
        </w:tblPrEx>
        <w:trPr>
          <w:trHeight w:val="1134" w:hRule="exact"/>
          <w:jc w:val="center"/>
        </w:trPr>
        <w:tc>
          <w:tcPr>
            <w:tcW w:w="9060"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cs="Times New Roman"/>
                <w:kern w:val="0"/>
              </w:rPr>
            </w:pPr>
            <w:r>
              <w:rPr>
                <w:rFonts w:hint="eastAsia" w:ascii="宋体" w:hAnsi="宋体" w:cs="宋体"/>
                <w:kern w:val="0"/>
              </w:rPr>
              <w:t>说明：</w:t>
            </w:r>
            <w:r>
              <w:rPr>
                <w:rFonts w:ascii="宋体" w:hAnsi="宋体" w:cs="宋体"/>
                <w:kern w:val="0"/>
              </w:rPr>
              <w:t>1.</w:t>
            </w:r>
            <w:r>
              <w:rPr>
                <w:rFonts w:hint="eastAsia" w:ascii="宋体" w:hAnsi="宋体" w:cs="宋体"/>
                <w:kern w:val="0"/>
              </w:rPr>
              <w:t>合格打“√”</w:t>
            </w:r>
            <w:r>
              <w:rPr>
                <w:rFonts w:ascii="宋体" w:hAnsi="宋体" w:cs="宋体"/>
                <w:kern w:val="0"/>
              </w:rPr>
              <w:t xml:space="preserve">, </w:t>
            </w:r>
            <w:r>
              <w:rPr>
                <w:rFonts w:hint="eastAsia" w:ascii="宋体" w:hAnsi="宋体" w:cs="宋体"/>
                <w:kern w:val="0"/>
              </w:rPr>
              <w:t>不合格打“×”。</w:t>
            </w:r>
          </w:p>
          <w:p>
            <w:pPr>
              <w:widowControl/>
              <w:spacing w:line="240" w:lineRule="exact"/>
              <w:ind w:firstLine="603" w:firstLineChars="300"/>
              <w:jc w:val="left"/>
              <w:rPr>
                <w:rFonts w:ascii="宋体" w:cs="Times New Roman"/>
                <w:kern w:val="0"/>
              </w:rPr>
            </w:pPr>
            <w:r>
              <w:rPr>
                <w:rFonts w:ascii="宋体" w:hAnsi="宋体" w:cs="宋体"/>
                <w:kern w:val="0"/>
              </w:rPr>
              <w:t>2.</w:t>
            </w:r>
            <w:r>
              <w:rPr>
                <w:rFonts w:hint="eastAsia" w:ascii="宋体" w:hAnsi="宋体" w:cs="宋体"/>
                <w:kern w:val="0"/>
              </w:rPr>
              <w:t>有一项内容不合格，综合评定为不合格。</w:t>
            </w:r>
          </w:p>
          <w:p>
            <w:pPr>
              <w:widowControl/>
              <w:spacing w:line="240" w:lineRule="exact"/>
              <w:ind w:firstLine="603" w:firstLineChars="300"/>
              <w:jc w:val="left"/>
              <w:rPr>
                <w:rFonts w:ascii="宋体" w:cs="Times New Roman"/>
                <w:kern w:val="0"/>
              </w:rPr>
            </w:pPr>
            <w:r>
              <w:rPr>
                <w:rFonts w:ascii="宋体" w:hAnsi="宋体" w:cs="宋体"/>
                <w:kern w:val="0"/>
              </w:rPr>
              <w:t>3.</w:t>
            </w:r>
            <w:r>
              <w:rPr>
                <w:rFonts w:hint="eastAsia" w:ascii="宋体" w:hAnsi="宋体" w:cs="宋体"/>
                <w:kern w:val="0"/>
              </w:rPr>
              <w:t>采购机构应当结合采购项目实际情况，适当增减调整审查内容。</w:t>
            </w:r>
          </w:p>
        </w:tc>
      </w:tr>
    </w:tbl>
    <w:p>
      <w:pPr>
        <w:rPr>
          <w:rFonts w:ascii="Times New Roman" w:hAnsi="Times New Roman" w:cs="Times New Roman"/>
          <w:kern w:val="0"/>
          <w:sz w:val="24"/>
          <w:szCs w:val="24"/>
        </w:rPr>
      </w:pPr>
      <w:r>
        <w:rPr>
          <w:rFonts w:hint="eastAsia" w:ascii="Times New Roman" w:hAnsi="Times New Roman" w:cs="宋体"/>
          <w:kern w:val="0"/>
          <w:sz w:val="24"/>
          <w:szCs w:val="24"/>
        </w:rPr>
        <w:t>谈判小组成员签名：年月日</w:t>
      </w:r>
    </w:p>
    <w:p>
      <w:pPr>
        <w:rPr>
          <w:rFonts w:ascii="黑体" w:hAnsi="黑体" w:eastAsia="黑体" w:cs="黑体"/>
          <w:kern w:val="0"/>
          <w:sz w:val="32"/>
          <w:szCs w:val="32"/>
        </w:rPr>
      </w:pPr>
      <w:r>
        <w:rPr>
          <w:rFonts w:hint="eastAsia" w:ascii="黑体" w:hAnsi="黑体" w:eastAsia="黑体" w:cs="黑体"/>
          <w:kern w:val="0"/>
          <w:sz w:val="32"/>
          <w:szCs w:val="32"/>
        </w:rPr>
        <w:t>表</w:t>
      </w:r>
      <w:r>
        <w:rPr>
          <w:rFonts w:ascii="黑体" w:hAnsi="黑体" w:eastAsia="黑体" w:cs="黑体"/>
          <w:kern w:val="0"/>
          <w:sz w:val="32"/>
          <w:szCs w:val="32"/>
        </w:rPr>
        <w:t>2</w:t>
      </w:r>
      <w:r>
        <w:rPr>
          <w:rFonts w:hint="eastAsia" w:ascii="黑体" w:hAnsi="黑体" w:eastAsia="黑体" w:cs="黑体"/>
          <w:kern w:val="0"/>
          <w:sz w:val="32"/>
          <w:szCs w:val="32"/>
        </w:rPr>
        <w:t>、</w:t>
      </w:r>
      <w:r>
        <w:rPr>
          <w:rFonts w:ascii="黑体" w:hAnsi="黑体" w:eastAsia="黑体" w:cs="黑体"/>
          <w:kern w:val="0"/>
          <w:sz w:val="32"/>
          <w:szCs w:val="32"/>
        </w:rPr>
        <w:t>3</w:t>
      </w:r>
    </w:p>
    <w:tbl>
      <w:tblPr>
        <w:tblStyle w:val="17"/>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3"/>
        <w:gridCol w:w="975"/>
        <w:gridCol w:w="5565"/>
        <w:gridCol w:w="696"/>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评审项目</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评审内容及规则</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标准分值</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价格</w:t>
            </w:r>
          </w:p>
        </w:tc>
        <w:tc>
          <w:tcPr>
            <w:tcW w:w="5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满足招标文件要求且报价最低的为评审基准价，价格得分=（评审基准价/报价）×标准分值</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ind w:firstLine="622" w:firstLineChars="200"/>
        <w:rPr>
          <w:rFonts w:hint="eastAsia" w:ascii="仿宋_GB2312" w:hAnsi="宋体" w:eastAsia="仿宋_GB2312" w:cs="仿宋_GB2312"/>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（五）谈判程序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由监督人员或采购机构委托的公证机构检查报价文件的密封情况，确认无误后，由工作人员统一拆封。</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资格性和符合性审查。依据谈判文件规定，谈判小组对报价文件中的资格证明、谈判保证金等进行审查，以确定报价方是否具备谈判资格；从报价文件的有效性、完整性和对谈判文件的响应程度进行审查，以确定报价方是否对谈判文件做出实质性响应。具体审查项目见表</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。谈判小组填写《资格性和符合性审查表》，确定有资格进入谈判的报价方名单。资格性和符合性审查不合格的报价方，不再参加后续评审。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密封时未加盖、少加盖公章或者密封章，但是密封完好、完整标明了报价方名称且得到报价方（法定代表人或者授权代表）现场认可的；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正副本数量齐全、密封完好，只是未按照谈判文件要求进行分装或者统装的；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存在个别地方（总数不超过</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个且占应签字地方的比例不超过</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）没有法定代表人签字，但有法定代表人的私人印章或者授权代表有效签字的；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除谈判文件明确要求加盖供应商（法人）公章的以外，其他地方以相关专用章加盖的。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最终报价。报价方在第二轮谈判基础上填写《最终报价表》和新的澄清承诺（若没有可不填写），密封后在规定时间内递交谈判小组，并以此报价和所有澄清承诺作为最终评审依据。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报价方提交最终报价时，应将报价和其他承诺分开填写、单独密封递交，否则将被视为无效报价。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家以上供应商的设计方案或者解决方案，并要求其在规定时间内提交最后报价。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最终报价是供应商报价文件的有效组成部分。供应商在提交最后报价之前，可以根据谈判情况退出谈判。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询问与答疑。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构书面解释。采购机构应当给予书面解释，但不得改变谈判文件的原义或者影响公平、公正评审。</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商务、技术评审。按照谈判文件中规定的评审方法和标准，对资格性审查和符合性审查合格的报价方进行技术评审和商务评审（不含价格因素）。</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价格评审。待技术、商务评审结束后，工作人员再拆封最终报价交谈判小组评审。存在低价恶意竞争的，由谈判小组全体成员按前款（六）谈判报价有关要求认定；不存在低价恶意竞争的，由商务评委依据评审方法和评审标准对最终报价进行评审。</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复核评审情况。评审结束后，谈判小组应当对评审过程资料和文件逐一进行复核。对排名前</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名的预成交供应商、报价最高且预成交的、报价最低未预成交的、采购超预算的，以及报价文件被认定为无效的和终止评审等情形，进行重点复核、分析原因，并在评审报告中注明。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13.</w:t>
      </w:r>
      <w:r>
        <w:rPr>
          <w:rFonts w:hint="eastAsia" w:ascii="仿宋_GB2312" w:hAnsi="宋体" w:eastAsia="仿宋_GB2312" w:cs="仿宋_GB2312"/>
          <w:kern w:val="0"/>
          <w:sz w:val="32"/>
          <w:szCs w:val="32"/>
        </w:rPr>
        <w:t>谈判小组依据经过复核的评审结果，对报价方进行排序并推荐预成交供应商。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※成交数量。按照评审排序及分配比例确定成交数量。选择</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家供应商同时成交的，成交数量比例按</w:t>
      </w:r>
      <w:r>
        <w:rPr>
          <w:rFonts w:ascii="仿宋_GB2312" w:hAnsi="宋体" w:eastAsia="仿宋_GB2312" w:cs="仿宋_GB2312"/>
          <w:kern w:val="0"/>
          <w:sz w:val="32"/>
          <w:szCs w:val="32"/>
        </w:rPr>
        <w:t>7</w:t>
      </w:r>
      <w:r>
        <w:rPr>
          <w:rFonts w:hint="eastAsia" w:ascii="宋体" w:hAnsi="宋体" w:cs="宋体"/>
          <w:kern w:val="0"/>
          <w:sz w:val="32"/>
          <w:szCs w:val="32"/>
        </w:rPr>
        <w:t>︰</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计算；</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家供应商同时成交的，按</w:t>
      </w:r>
      <w:r>
        <w:rPr>
          <w:rFonts w:ascii="仿宋_GB2312" w:hAnsi="宋体" w:eastAsia="仿宋_GB2312" w:cs="仿宋_GB2312"/>
          <w:kern w:val="0"/>
          <w:sz w:val="32"/>
          <w:szCs w:val="32"/>
        </w:rPr>
        <w:t>5</w:t>
      </w:r>
      <w:r>
        <w:rPr>
          <w:rFonts w:hint="eastAsia" w:ascii="宋体" w:hAnsi="宋体" w:cs="宋体"/>
          <w:kern w:val="0"/>
          <w:sz w:val="32"/>
          <w:szCs w:val="32"/>
        </w:rPr>
        <w:t>︰</w:t>
      </w:r>
      <w:r>
        <w:rPr>
          <w:rFonts w:ascii="仿宋_GB2312" w:hAnsi="宋体" w:eastAsia="仿宋_GB2312" w:cs="仿宋_GB2312"/>
          <w:kern w:val="0"/>
          <w:sz w:val="32"/>
          <w:szCs w:val="32"/>
        </w:rPr>
        <w:t>3</w:t>
      </w:r>
      <w:r>
        <w:rPr>
          <w:rFonts w:hint="eastAsia" w:ascii="宋体" w:hAnsi="宋体" w:cs="宋体"/>
          <w:kern w:val="0"/>
          <w:sz w:val="32"/>
          <w:szCs w:val="32"/>
        </w:rPr>
        <w:t>︰</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计算；</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家以上供应商同时成交的，第一名与最后一名数量比例控制在</w:t>
      </w:r>
      <w:r>
        <w:rPr>
          <w:rFonts w:ascii="仿宋_GB2312" w:hAnsi="宋体" w:eastAsia="仿宋_GB2312" w:cs="仿宋_GB2312"/>
          <w:kern w:val="0"/>
          <w:sz w:val="32"/>
          <w:szCs w:val="32"/>
        </w:rPr>
        <w:t>4</w:t>
      </w:r>
      <w:r>
        <w:rPr>
          <w:rFonts w:hint="eastAsia" w:ascii="宋体" w:hAnsi="宋体" w:cs="宋体"/>
          <w:kern w:val="0"/>
          <w:sz w:val="32"/>
          <w:szCs w:val="32"/>
        </w:rPr>
        <w:t>︰</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3</w:t>
      </w:r>
      <w:r>
        <w:rPr>
          <w:rFonts w:hint="eastAsia" w:ascii="宋体" w:hAnsi="宋体" w:cs="宋体"/>
          <w:kern w:val="0"/>
          <w:sz w:val="32"/>
          <w:szCs w:val="32"/>
        </w:rPr>
        <w:t>︰</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之间，其余等差分配。</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※成交价格。同一品种、规格的物资，</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以上供应商成交时，报价低于第一预成交供应商的，执行各自报价；报价高于或者等于第一预成交供应商的，成交价格一律执行第一预成交供应商报价。成交供应商不接受第一预成交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谈判日期和地点；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获取谈判文件供应商名单、报价供应商名单和谈判小组成员名单；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评审方法；</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谈判记录和评审情况及说明，包括无效报价供应商名称及原因；</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谈判小组成交建议。</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（六）对下列情况，采购机构以及谈判小组按照《军队物资采购评审管理办法》及相关规定处理。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谈判文件递交截止时间前，少于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家供应商报价的，不得开始谈判，采购机构应当按照中止采购处理。除改用比照竞争性谈判方式或者建议采用单一来源方式外，不得拆封报价文件，并当场退还报价方。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谈判开始后，经评审满足谈判文件要求的报价供应商只有</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家的，谈判小组应当分析原因。谈判小组（五分之四以上评委）认定报价供应商报价客观合理的，应当在评审报告中注明，可直接比照竞争性谈判方式，按照至少</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轮谈判、供应商</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次报价程序，采用原评审方法及评审标准组织评审；经评审满足谈判文件要求的报价供应商只有</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家时，谈判小组（五分之四以上评委）认定报价供应商满足单一来源条件的，应当在评审报告中注明；采购机构应当将该项目在军队采购外网上公示</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周（涉密项目除外），无其他供应商响应时，报物资采购管理部门申请变更采购机构式。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谈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部分供应商报价超采购预算的，应当继续进行评审。第一预成交供应商报价未超采购预算的，评审结果有效；第一预成交供应商超采购预算的，报物资采购管理部门处理。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同一需求部门（单位）同一经费来源的同类物资，部分产品单价或者金额超采购预算，但成交总金额未超采购预算的，不视为需求部门（单位）不能支付。</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报价方及其报价文件有下列情形之一的，在符合性审查时按照无效报价处理：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未按照谈判文件规定要求密封、签署、盖章的（符合资格性和符合性审查要求的除外）；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报价文件组成明显不符合谈判文件的规定要求，影响谈判小组评判的；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应交未交谈判保证金的或保证金金额不足的；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报价有效期不符合谈判文件要求的；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其他未满足对报价文件有效性、完整性和对谈判文件响应程度要求的情形。</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报价方及其报价文件有下列情形之一的，在资格性审查时按照无效报价处理：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不具备谈判文件中规定的资格性要求的；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法人代表授权不符合要求的；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属于禁止参加报价的供应商的；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不符合法律、法规、规章规定的资格性要求的；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供应商授权代理人参加军队或省级以上政府采购活动，致使该供应商受到处罚期间，该代理人代理其他供应商参加军队采购活动的；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在商务评审过程中，有下列情形之一的，其报价将被否决：</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报价方或其制造商与采购机构有利害关系可能影响谈判公正性的；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报价方参与项目前期咨询或谈判文件编制的；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不同报价方单位负责人为同一人或者存在控股、管理关系的；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报价文件未按谈判文件的要求签署的；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报价方的报价书、资格证明材料未提供，或不符合国家规定或者谈判文件要求的；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同一报价方提交两个以上不同的报价方案或者报价的，但谈判文件要求提交备选方案的除外；</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报价文件不满足谈判文件加注星号（“★”）的重要商务条款要求的；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报价高于谈判文件设定的最高报价限价的；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报价方有串通报价、弄虚作假、行贿等违法行为的；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存在谈判文件中规定的否决报价的其他商务条款的。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技术评审过程中，有下列情形之一的，其报价将被否决：</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报价文件不满足谈判文件技术规格中加注星号（“★”）的重要条款（参数）要求，或加注星号（“★”）的重要条款（参数）无符合谈判文件要求的技术资料支持的；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报价文件技术要求中一般参数超出允许偏离的最大范围或最多项数的；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报价文件技术要求中的响应与事实不符或虚假报价的；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复制谈判文件的技术规格相关部分内容作为报价文件中一部分的；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存在谈判文件中规定的否决报价的其他技术条款的。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有下列情形之一的，属于报价方相互串通报价，谈判小组应当对串通报价方按照无效报价处理：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报价方之间协商报价等报价文件的实质性内容的；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报价方之间约定成交供应商的；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报价方之间约定部分报价方放弃报价或者成交的；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属于同一集团、协会、商会等组织成员的报价方按照该组织要求协同报价的；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报价方之间为谋取成交或者排斥特定报价方而采取其他联合行动的。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8.</w:t>
      </w:r>
      <w:r>
        <w:rPr>
          <w:rFonts w:hint="eastAsia" w:ascii="仿宋_GB2312" w:hAnsi="宋体" w:eastAsia="仿宋_GB2312" w:cs="仿宋_GB2312"/>
          <w:kern w:val="0"/>
          <w:sz w:val="32"/>
          <w:szCs w:val="32"/>
        </w:rPr>
        <w:t>有下列情形之一的，视为报价方相互串通报价，谈判小组应当对串通报价方按照无效报价处理：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不同报价方的报价文件由同一单位或者个人编制的；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不同报价方委托同一单位或者个人办理谈判事宜的；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不同报价方的报价文件载明的项目管理成员为同一人的；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不同报价方的报价文件异常一致或者报价呈规律性差异的；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不同报价方的报价文件相互混装的；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不同报价方的谈判保证金从同一单位或者个人的账户转出的。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9.</w:t>
      </w:r>
      <w:r>
        <w:rPr>
          <w:rFonts w:hint="eastAsia" w:ascii="仿宋_GB2312" w:hAnsi="宋体" w:eastAsia="仿宋_GB2312" w:cs="仿宋_GB2312"/>
          <w:kern w:val="0"/>
          <w:sz w:val="32"/>
          <w:szCs w:val="32"/>
        </w:rPr>
        <w:t>有下列情形之一的，属于采购机构与报价方串通报价，谈判小组应当对串通报价方按照无效报价处理：</w:t>
      </w:r>
    </w:p>
    <w:p>
      <w:pPr>
        <w:ind w:firstLine="622" w:firstLineChars="200"/>
        <w:rPr>
          <w:rFonts w:ascii="仿宋_GB2312" w:hAnsi="宋体" w:eastAsia="仿宋_GB2312" w:cs="仿宋_GB2312"/>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采购机构在谈判开始前开启报价文件并将有关信息泄露给其他报价方的</w:t>
      </w:r>
      <w:r>
        <w:rPr>
          <w:rFonts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采购机构直接或者间接向报价方泄露采购预算、谈判小组成员等信息的；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采购机构明示或者暗示报价方压低或者抬高报价的；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采购机构授意报价方撤换、修改报价文件的；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采购机构明示或者暗示报价方为特定报价方成交提供方便的；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采购机构与报价方为谋求特定报价方成交而采取其他串通行为的。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有下列情形之一的，属于虚假报价，谈判小组应当对报价方按照无效报价处理：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使用通过受让或者租借等方式获取资格、资质证书报价的；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使用伪造、变造的许可证件的；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提供虚假的财务状况或者业绩的；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提供虚假的项目负责人或者主要技术人员简历、劳动关系证明的；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提供虚假信用状况的；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(6)</w:t>
      </w:r>
      <w:r>
        <w:rPr>
          <w:rFonts w:hint="eastAsia" w:ascii="仿宋_GB2312" w:hAnsi="宋体" w:eastAsia="仿宋_GB2312" w:cs="仿宋_GB2312"/>
          <w:kern w:val="0"/>
          <w:sz w:val="32"/>
          <w:szCs w:val="32"/>
        </w:rPr>
        <w:t>提供虚假样品或借用、冒用其他供应商样品的；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其他弄虚作假行为的。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11.</w:t>
      </w:r>
      <w:r>
        <w:rPr>
          <w:rFonts w:hint="eastAsia" w:ascii="仿宋_GB2312" w:hAnsi="宋体" w:eastAsia="仿宋_GB2312" w:cs="仿宋_GB2312"/>
          <w:kern w:val="0"/>
          <w:sz w:val="32"/>
          <w:szCs w:val="32"/>
        </w:rPr>
        <w:t>有下列情形之一的，应当终止谈判：</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参加谈判的供应商均被淘汰的；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谈判结束后，供应商报价文件均不能满足谈判文件最低要求的；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其他无法继续开展谈判或者无法成交的情形；</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因重大变故，取消采购任务的。</w:t>
      </w:r>
    </w:p>
    <w:p>
      <w:pPr>
        <w:ind w:firstLine="622" w:firstLineChars="200"/>
        <w:rPr>
          <w:rFonts w:ascii="宋体" w:cs="Times New Roman"/>
          <w:kern w:val="0"/>
          <w:sz w:val="28"/>
          <w:szCs w:val="28"/>
        </w:rPr>
      </w:pPr>
      <w:r>
        <w:rPr>
          <w:rFonts w:hint="eastAsia" w:ascii="仿宋_GB2312" w:hAnsi="宋体" w:eastAsia="仿宋_GB2312" w:cs="仿宋_GB2312"/>
          <w:kern w:val="0"/>
          <w:sz w:val="32"/>
          <w:szCs w:val="32"/>
        </w:rPr>
        <w:t>（七）经谈判小组评审，认为所有报价都不符合谈判文件要求的，谈判小组可否决所有报价，采购机构有权重新组织采购。</w:t>
      </w:r>
    </w:p>
    <w:p>
      <w:pPr>
        <w:tabs>
          <w:tab w:val="left" w:pos="1608"/>
        </w:tabs>
        <w:ind w:firstLine="542" w:firstLineChars="200"/>
        <w:rPr>
          <w:rFonts w:ascii="Times New Roman" w:hAnsi="Times New Roman" w:eastAsia="黑体" w:cs="Times New Roman"/>
          <w:kern w:val="0"/>
          <w:sz w:val="32"/>
          <w:szCs w:val="32"/>
        </w:rPr>
      </w:pPr>
      <w:r>
        <w:rPr>
          <w:rFonts w:ascii="宋体" w:cs="Times New Roman"/>
          <w:kern w:val="0"/>
          <w:sz w:val="28"/>
          <w:szCs w:val="28"/>
        </w:rPr>
        <w:tab/>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（三）采购机构的质疑处理机构联系方式</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联系人：高先生</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电话：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lang w:val="en-US" w:eastAsia="zh-CN"/>
        </w:rPr>
        <w:t>2</w:t>
      </w:r>
      <w:r>
        <w:rPr>
          <w:rFonts w:ascii="仿宋_GB2312" w:hAnsi="宋体" w:eastAsia="仿宋_GB2312" w:cs="仿宋_GB2312"/>
          <w:kern w:val="0"/>
          <w:sz w:val="32"/>
          <w:szCs w:val="32"/>
        </w:rPr>
        <w:t>037887429</w:t>
      </w:r>
    </w:p>
    <w:p>
      <w:pPr>
        <w:ind w:firstLine="622" w:firstLineChars="200"/>
        <w:rPr>
          <w:rFonts w:ascii="仿宋_GB2312" w:hAnsi="Times New Roman"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地址：</w:t>
      </w:r>
      <w:r>
        <w:rPr>
          <w:rFonts w:hint="eastAsia" w:ascii="仿宋_GB2312" w:hAnsi="Times New Roman" w:eastAsia="仿宋_GB2312" w:cs="仿宋_GB2312"/>
          <w:kern w:val="0"/>
          <w:sz w:val="32"/>
          <w:szCs w:val="32"/>
        </w:rPr>
        <w:t>广州市番禺区敏捷上城国际一期</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栋</w:t>
      </w:r>
      <w:r>
        <w:rPr>
          <w:rFonts w:ascii="仿宋_GB2312" w:hAnsi="Times New Roman" w:eastAsia="仿宋_GB2312" w:cs="仿宋_GB2312"/>
          <w:kern w:val="0"/>
          <w:sz w:val="32"/>
          <w:szCs w:val="32"/>
        </w:rPr>
        <w:t>1806</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邮编：</w:t>
      </w:r>
      <w:r>
        <w:rPr>
          <w:rFonts w:ascii="仿宋_GB2312" w:hAnsi="宋体" w:eastAsia="仿宋_GB2312" w:cs="仿宋_GB2312"/>
          <w:kern w:val="0"/>
          <w:sz w:val="32"/>
          <w:szCs w:val="32"/>
        </w:rPr>
        <w:t>511400</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（四）供应商认为谈判文件存在限制性、倾向性、排他性条款，使自己权益受到损害的，可以在提交报价文件截止时间</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（五）供应商认为下列事项使自己权益受到损害的，可以在评审结果公示期内，向采购机构设立的质疑处理机构提出书面质疑和相关证明材料：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采购机构或者相关人员与供应商有利害关系，应当回避而没有回避的；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供应商之间或者采购机构与供应商之间存在串通行为的；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提供虚假资料骗取成交的；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（六）书面质疑应由法定代表人签字并加盖单位公章，同时出具法定代表人资格证明书。由全权代表签字的，必须有法定代表人授权书和法定代表人资格证明书，并加盖单位公章。书面质疑主要包括下列内容：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质疑的采购项目名称和项目编号；</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质疑人和被质疑人的名称，质疑人的地址、联系方式等；</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（七）质疑有以下情形之一的，质疑处理机构不予受理：</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未按规定程序和渠道提出质疑的；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超过质疑限期的；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书面质疑的形式和内容不符合上述要求的；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（八）质疑处理机构应当自质疑签收之日起</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质疑处理机构在作出书面答复之前，可以采取现场解答的方式向质疑人通报初步处理结果。供应商认可处理结果的，可在出具书面申请后撤回质疑或者放弃质疑，质疑处理机构不再进行书面答复。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（九）供应商质疑有下列情形之一的，视为无效质疑，质疑处理机构应当驳回质疑：</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无具体的质疑事项，或者质疑事项缺乏事实和法律依据的；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质疑内容涉及评审工作细节、其他供应商投标资料等保密事项且无法提供信息的合法来源的；</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质疑已经处理并明确答复后，质疑人就同一事项再次提起质疑且未提供新的有效证据的。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质疑处理机构应当对供应商无效质疑情况记录存档。</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（十）供应商进行虚假和恶意质疑，干扰军队采购活动的，质疑处理机构可以申请上级采购管理部门作出处罚。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（十一）对质疑处理机构的书面答复及处理结果不满意，或者质疑处理机构未答复以及未在规定期限内作出答复的，质疑人可以在质疑答复期满之日起</w:t>
      </w:r>
      <w:r>
        <w:rPr>
          <w:rFonts w:ascii="仿宋_GB2312" w:hAnsi="宋体" w:eastAsia="仿宋_GB2312" w:cs="仿宋_GB2312"/>
          <w:kern w:val="0"/>
          <w:sz w:val="32"/>
          <w:szCs w:val="32"/>
        </w:rPr>
        <w:t>15</w:t>
      </w:r>
      <w:r>
        <w:rPr>
          <w:rFonts w:hint="eastAsia" w:ascii="仿宋_GB2312" w:hAnsi="宋体" w:eastAsia="仿宋_GB2312" w:cs="仿宋_GB2312"/>
          <w:kern w:val="0"/>
          <w:sz w:val="32"/>
          <w:szCs w:val="32"/>
        </w:rPr>
        <w:t>个工作日内，向陆军后勤部采购供应局物资采购处提出投诉。投诉电话：</w:t>
      </w:r>
      <w:r>
        <w:rPr>
          <w:rFonts w:ascii="仿宋_GB2312" w:hAnsi="宋体" w:eastAsia="仿宋_GB2312" w:cs="仿宋_GB2312"/>
          <w:kern w:val="0"/>
          <w:sz w:val="32"/>
          <w:szCs w:val="32"/>
        </w:rPr>
        <w:t>010-66718844</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010-66718851</w:t>
      </w:r>
      <w:r>
        <w:rPr>
          <w:rFonts w:hint="eastAsia" w:ascii="仿宋_GB2312" w:hAnsi="宋体" w:eastAsia="仿宋_GB2312" w:cs="仿宋_GB2312"/>
          <w:kern w:val="0"/>
          <w:sz w:val="32"/>
          <w:szCs w:val="32"/>
        </w:rPr>
        <w:t>。</w:t>
      </w:r>
    </w:p>
    <w:p>
      <w:pPr>
        <w:ind w:firstLine="542" w:firstLineChars="200"/>
        <w:rPr>
          <w:rFonts w:ascii="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w:t>
      </w: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评审结束后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个工作日内，采购机构根据谈判小组提出的书面评审报告，在军队采购网（</w:t>
      </w:r>
      <w:r>
        <w:rPr>
          <w:rFonts w:ascii="仿宋_GB2312" w:hAnsi="宋体" w:eastAsia="仿宋_GB2312" w:cs="仿宋_GB2312"/>
          <w:snapToGrid w:val="0"/>
          <w:kern w:val="0"/>
          <w:sz w:val="32"/>
          <w:szCs w:val="32"/>
        </w:rPr>
        <w:t>www.plap.cn</w:t>
      </w:r>
      <w:r>
        <w:rPr>
          <w:rFonts w:hint="eastAsia" w:ascii="仿宋_GB2312" w:hAnsi="宋体" w:eastAsia="仿宋_GB2312" w:cs="仿宋_GB2312"/>
          <w:snapToGrid w:val="0"/>
          <w:kern w:val="0"/>
          <w:sz w:val="32"/>
          <w:szCs w:val="32"/>
        </w:rPr>
        <w:t>）上公示评审结果，公示期为</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个工作日。在公示期内无异议的，确定排名第一的供应商为采购项目成交供应商，对按成交比例确定成交供应商的采购项目，根据谈判文件确定的成交供应商数量，按照评审排序依次确定</w:t>
      </w: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家以上供应商为成交供应商；公示期内有异议的，按照本须知“质疑与投诉”规定的程序处理。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r>
        <w:rPr>
          <w:rFonts w:hint="eastAsia" w:ascii="仿宋_GB2312" w:hAnsi="宋体" w:eastAsia="仿宋_GB2312" w:cs="仿宋_GB2312"/>
          <w:kern w:val="0"/>
          <w:sz w:val="32"/>
          <w:szCs w:val="32"/>
          <w:lang w:val="zh-CN"/>
        </w:rPr>
        <w:t>同时向未成交供应商发出《未成交通知书》</w:t>
      </w:r>
      <w:r>
        <w:rPr>
          <w:rFonts w:hint="eastAsia" w:ascii="仿宋_GB2312" w:hAnsi="宋体" w:eastAsia="仿宋_GB2312" w:cs="仿宋_GB2312"/>
          <w:kern w:val="0"/>
          <w:sz w:val="32"/>
          <w:szCs w:val="32"/>
        </w:rPr>
        <w:t>。</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w:t>
      </w:r>
      <w:r>
        <w:rPr>
          <w:rFonts w:hint="eastAsia" w:ascii="仿宋_GB2312" w:hAnsi="宋体" w:eastAsia="仿宋_GB2312" w:cs="仿宋_GB2312"/>
          <w:snapToGrid w:val="0"/>
          <w:kern w:val="0"/>
          <w:sz w:val="32"/>
          <w:szCs w:val="32"/>
        </w:rPr>
        <w:t>《成交通知书》及签订的合同草案不能作为成交供应商启动生产或备货的依据，应待正式合同签订后再启动生产备货，否则，由此造成的后果由成交供应商自行承担。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（三）</w:t>
      </w:r>
      <w:r>
        <w:rPr>
          <w:rFonts w:hint="eastAsia" w:ascii="仿宋_GB2312" w:hAnsi="宋体" w:eastAsia="仿宋_GB2312" w:cs="仿宋_GB2312"/>
          <w:snapToGrid w:val="0"/>
          <w:kern w:val="0"/>
          <w:sz w:val="32"/>
          <w:szCs w:val="32"/>
        </w:rPr>
        <w:t>成交服务费</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成交供应商须在与采购机构签定合同前，向广州宝诚招标代理咨询有限公司交纳成交服务费。</w:t>
      </w:r>
    </w:p>
    <w:p>
      <w:pPr>
        <w:ind w:firstLine="622" w:firstLineChars="200"/>
        <w:rPr>
          <w:rFonts w:hint="eastAsia" w:ascii="仿宋_GB2312" w:hAnsi="宋体" w:eastAsia="仿宋_GB2312" w:cs="Times New Roman"/>
          <w:kern w:val="0"/>
          <w:sz w:val="32"/>
          <w:szCs w:val="32"/>
          <w:lang w:val="en-US" w:eastAsia="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成交服务费：</w:t>
      </w:r>
      <w:r>
        <w:rPr>
          <w:rFonts w:hint="eastAsia" w:ascii="仿宋_GB2312" w:hAnsi="宋体" w:eastAsia="仿宋_GB2312" w:cs="仿宋_GB2312"/>
          <w:kern w:val="0"/>
          <w:sz w:val="32"/>
          <w:szCs w:val="32"/>
          <w:lang w:val="en-US" w:eastAsia="zh-CN"/>
        </w:rPr>
        <w:t>8000</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val="en-US" w:eastAsia="zh-CN"/>
        </w:rPr>
        <w:t xml:space="preserve"> </w:t>
      </w:r>
    </w:p>
    <w:p>
      <w:pPr>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成交服务费只能以银行转账方式支付。</w:t>
      </w:r>
    </w:p>
    <w:p>
      <w:pPr>
        <w:ind w:firstLine="622" w:firstLineChars="200"/>
        <w:rPr>
          <w:rFonts w:ascii="宋体" w:cs="Times New Roman"/>
          <w:kern w:val="0"/>
          <w:sz w:val="28"/>
          <w:szCs w:val="28"/>
        </w:rPr>
      </w:pP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成交供应商未按上述规定交纳服务费的，采购机构将没收其报价保证金，且采购机构有权取消其成交资格和拒签合同。</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八、签订合同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个工作日内，按照采购机构规定的时间、地点签订合同草案，合同草案经批准后签订正式合同。未经采购机构同意逾期不签订合同的，将取消成交供应商成交资格。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（二）谈判文件、成交供应商的报价文件、补充报价文件、澄清承诺、说明、补正和《成交通知书》等，均为签订合同的依据。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（三）所签订的合同不得对成交供应商及其最终报价作实质性修改。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（四）成交供应商应当按照合同约定履行义务，完成采购项目。成交供应商不得向他人转让采购项目，也不得将采购项目分包向他人转让或委托加工。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※（五）本次谈判不收取合同履约保证金。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九、产品质量检验验收</w:t>
      </w:r>
    </w:p>
    <w:p>
      <w:pPr>
        <w:ind w:firstLine="542" w:firstLineChars="200"/>
        <w:rPr>
          <w:rFonts w:ascii="宋体" w:cs="Times New Roman"/>
          <w:snapToGrid w:val="0"/>
          <w:color w:val="0000FF"/>
          <w:kern w:val="0"/>
          <w:sz w:val="28"/>
          <w:szCs w:val="28"/>
          <w:lang w:val="zh-CN"/>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中标人未生产过的产品，应当进行首件或首批产品质量检验，即为首检。通过首检的产品，方可投入批量生产，应预付货款的办理预付款；未通过首检的，合同甲方将书面通知中标人限期整改，整改后进行第二次检验，检验合格后方可投入批量生产。第二次检验仍未通过的，合同甲方不预付货款，并有权取消采购合同，由此造成的损失，由中标人承担。按照采购合同应当进行首检，中标人未申请首检且直接投入批量生产的，或者首检以及二次检验未通过中标人擅自投入批量生产的，合同甲方将取消或解除采购合同，由此造成的损失，由中标人承担。</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※（二）产品生产过程中，合同甲方代表可组织质量监督检验，中标人应予以积极配合。</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（三）产品出厂前，中标人应当进行产品自检，自检合格后向合同甲方申请出厂验收，验收合格后方可出厂。</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（四）产品出厂验收不合格，合同甲方有权拒收货物和解除采购合同，由此造成的损失，由中标人承担。出厂验收过程中，中标人可有</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次整改机会，若第一次检验未通过，合同甲方将书面通知成交供应商限期整改，整改后进行第二次检验，检验合格后方可出厂。若第二次检验仍未通过的，合同甲方有权取消或解除采购合同，由此造成的损失，由中标人承担。</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十、解释权限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5" w:type="default"/>
          <w:footerReference r:id="rId6"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本谈判文件由采购机构负责解释。</w:t>
      </w:r>
    </w:p>
    <w:p>
      <w:pPr>
        <w:spacing w:line="560" w:lineRule="exact"/>
        <w:jc w:val="center"/>
        <w:outlineLvl w:val="0"/>
        <w:rPr>
          <w:rFonts w:ascii="Times New Roman" w:hAnsi="Times New Roman" w:eastAsia="方正小标宋简体" w:cs="Times New Roman"/>
          <w:kern w:val="0"/>
          <w:sz w:val="44"/>
          <w:szCs w:val="44"/>
        </w:rPr>
      </w:pPr>
      <w:bookmarkStart w:id="10" w:name="_Toc435540981"/>
      <w:bookmarkStart w:id="11" w:name="_Toc285612603"/>
      <w:bookmarkStart w:id="12" w:name="_Toc390713969"/>
      <w:r>
        <w:rPr>
          <w:rFonts w:hint="eastAsia" w:ascii="Times New Roman" w:hAnsi="Times New Roman" w:eastAsia="方正小标宋简体" w:cs="方正小标宋简体"/>
          <w:kern w:val="0"/>
          <w:sz w:val="44"/>
          <w:szCs w:val="44"/>
        </w:rPr>
        <w:t>第四部分合同样本</w:t>
      </w:r>
      <w:bookmarkEnd w:id="10"/>
      <w:bookmarkEnd w:id="11"/>
      <w:bookmarkEnd w:id="12"/>
    </w:p>
    <w:p>
      <w:pPr>
        <w:adjustRightInd w:val="0"/>
        <w:snapToGrid w:val="0"/>
        <w:spacing w:line="560" w:lineRule="exact"/>
        <w:jc w:val="center"/>
        <w:rPr>
          <w:rFonts w:ascii="Times New Roman" w:hAnsi="Times New Roman" w:eastAsia="方正小标宋简体" w:cs="Times New Roman"/>
          <w:sz w:val="48"/>
          <w:szCs w:val="48"/>
        </w:rPr>
      </w:pPr>
      <w:r>
        <w:rPr>
          <w:rFonts w:hint="eastAsia" w:ascii="Times New Roman" w:hAnsi="Times New Roman" w:eastAsia="方正小标宋简体" w:cs="方正小标宋简体"/>
          <w:sz w:val="48"/>
          <w:szCs w:val="48"/>
        </w:rPr>
        <w:t>采购合同</w:t>
      </w:r>
      <w:r>
        <w:rPr>
          <w:rFonts w:hint="eastAsia" w:ascii="黑体" w:hAnsi="黑体" w:eastAsia="黑体" w:cs="黑体"/>
          <w:sz w:val="32"/>
          <w:szCs w:val="32"/>
        </w:rPr>
        <w:t>密级</w:t>
      </w:r>
    </w:p>
    <w:p>
      <w:pPr>
        <w:adjustRightInd w:val="0"/>
        <w:snapToGrid w:val="0"/>
        <w:spacing w:line="300" w:lineRule="exact"/>
        <w:rPr>
          <w:rFonts w:ascii="Times New Roman" w:hAnsi="Times New Roman" w:eastAsia="华文中宋" w:cs="Times New Roman"/>
        </w:rPr>
      </w:pPr>
      <w:r>
        <w:rPr>
          <w:rFonts w:hint="eastAsia" w:ascii="Times New Roman" w:hAnsi="Times New Roman" w:cs="宋体"/>
        </w:rPr>
        <w:t>合同编号：　　签订日期：年月日　　　签订地点：</w:t>
      </w:r>
    </w:p>
    <w:tbl>
      <w:tblPr>
        <w:tblStyle w:val="17"/>
        <w:tblW w:w="1478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82"/>
        <w:gridCol w:w="659"/>
        <w:gridCol w:w="148"/>
        <w:gridCol w:w="1272"/>
        <w:gridCol w:w="849"/>
        <w:gridCol w:w="389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402" w:type="dxa"/>
            <w:gridSpan w:val="6"/>
            <w:tcBorders>
              <w:top w:val="single" w:color="auto" w:sz="12" w:space="0"/>
            </w:tcBorders>
            <w:vAlign w:val="center"/>
          </w:tcPr>
          <w:p>
            <w:pPr>
              <w:adjustRightInd w:val="0"/>
              <w:snapToGrid w:val="0"/>
              <w:spacing w:line="240" w:lineRule="exact"/>
              <w:jc w:val="center"/>
              <w:rPr>
                <w:rFonts w:ascii="宋体" w:cs="Times New Roman"/>
              </w:rPr>
            </w:pPr>
            <w:r>
              <w:rPr>
                <w:rFonts w:hint="eastAsia" w:ascii="宋体" w:hAnsi="宋体" w:cs="宋体"/>
                <w:spacing w:val="20"/>
              </w:rPr>
              <w:t>甲　　方</w:t>
            </w:r>
          </w:p>
        </w:tc>
        <w:tc>
          <w:tcPr>
            <w:tcW w:w="7384" w:type="dxa"/>
            <w:gridSpan w:val="8"/>
            <w:tcBorders>
              <w:top w:val="single" w:color="auto" w:sz="12" w:space="0"/>
            </w:tcBorders>
            <w:vAlign w:val="center"/>
          </w:tcPr>
          <w:p>
            <w:pPr>
              <w:adjustRightInd w:val="0"/>
              <w:snapToGrid w:val="0"/>
              <w:spacing w:line="240" w:lineRule="exact"/>
              <w:jc w:val="center"/>
              <w:rPr>
                <w:rFonts w:ascii="宋体" w:cs="Times New Roman"/>
              </w:rPr>
            </w:pPr>
            <w:r>
              <w:rPr>
                <w:rFonts w:hint="eastAsia" w:ascii="宋体" w:hAnsi="宋体" w:cs="宋体"/>
                <w:spacing w:val="20"/>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rPr>
            </w:pPr>
            <w:r>
              <w:rPr>
                <w:rFonts w:hint="eastAsia" w:ascii="宋体" w:hAnsi="宋体" w:cs="宋体"/>
                <w:spacing w:val="45"/>
                <w:kern w:val="0"/>
              </w:rPr>
              <w:t>单位名</w:t>
            </w:r>
            <w:r>
              <w:rPr>
                <w:rFonts w:hint="eastAsia" w:ascii="宋体" w:hAnsi="宋体" w:cs="宋体"/>
                <w:spacing w:val="30"/>
                <w:kern w:val="0"/>
              </w:rPr>
              <w:t>称</w:t>
            </w:r>
          </w:p>
        </w:tc>
        <w:tc>
          <w:tcPr>
            <w:tcW w:w="6013" w:type="dxa"/>
            <w:gridSpan w:val="3"/>
            <w:vAlign w:val="center"/>
          </w:tcPr>
          <w:p>
            <w:pPr>
              <w:adjustRightInd w:val="0"/>
              <w:snapToGrid w:val="0"/>
              <w:spacing w:line="240" w:lineRule="exact"/>
              <w:ind w:left="100"/>
              <w:jc w:val="center"/>
              <w:rPr>
                <w:rFonts w:ascii="宋体" w:cs="Times New Roman"/>
                <w:spacing w:val="20"/>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rPr>
              <w:t>单位名</w:t>
            </w:r>
            <w:r>
              <w:rPr>
                <w:rFonts w:hint="eastAsia" w:ascii="宋体" w:hAnsi="宋体" w:cs="宋体"/>
                <w:spacing w:val="30"/>
                <w:kern w:val="0"/>
              </w:rPr>
              <w:t>称</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rPr>
              <w:t>法定代表</w:t>
            </w:r>
            <w:r>
              <w:rPr>
                <w:rFonts w:hint="eastAsia" w:ascii="宋体" w:hAnsi="宋体" w:cs="宋体"/>
                <w:spacing w:val="-2"/>
                <w:kern w:val="0"/>
              </w:rPr>
              <w:t>人</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0"/>
              </w:rPr>
              <w:t>法定代表</w:t>
            </w:r>
            <w:r>
              <w:rPr>
                <w:rFonts w:hint="eastAsia" w:ascii="宋体" w:hAnsi="宋体" w:cs="宋体"/>
                <w:spacing w:val="-2"/>
                <w:kern w:val="0"/>
                <w:fitText w:val="1170" w:id="0"/>
              </w:rPr>
              <w:t>人</w:t>
            </w:r>
          </w:p>
        </w:tc>
        <w:tc>
          <w:tcPr>
            <w:tcW w:w="5896" w:type="dxa"/>
            <w:gridSpan w:val="5"/>
            <w:vAlign w:val="center"/>
          </w:tcPr>
          <w:p>
            <w:pPr>
              <w:adjustRightInd w:val="0"/>
              <w:snapToGrid w:val="0"/>
              <w:spacing w:line="240" w:lineRule="exact"/>
              <w:ind w:left="100"/>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1"/>
              </w:rPr>
              <w:t>委托代理</w:t>
            </w:r>
            <w:r>
              <w:rPr>
                <w:rFonts w:hint="eastAsia" w:ascii="宋体" w:hAnsi="宋体" w:cs="宋体"/>
                <w:spacing w:val="-2"/>
                <w:kern w:val="0"/>
                <w:fitText w:val="1170" w:id="1"/>
              </w:rPr>
              <w:t>人</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5"/>
                <w:kern w:val="0"/>
                <w:fitText w:val="1170" w:id="2"/>
              </w:rPr>
              <w:t>委托代理</w:t>
            </w:r>
            <w:r>
              <w:rPr>
                <w:rFonts w:hint="eastAsia" w:ascii="宋体" w:hAnsi="宋体" w:cs="宋体"/>
                <w:spacing w:val="-2"/>
                <w:kern w:val="0"/>
                <w:fitText w:val="1170" w:id="2"/>
              </w:rPr>
              <w:t>人</w:t>
            </w:r>
          </w:p>
        </w:tc>
        <w:tc>
          <w:tcPr>
            <w:tcW w:w="5896" w:type="dxa"/>
            <w:gridSpan w:val="5"/>
            <w:vAlign w:val="center"/>
          </w:tcPr>
          <w:p>
            <w:pPr>
              <w:adjustRightInd w:val="0"/>
              <w:snapToGrid w:val="0"/>
              <w:spacing w:line="240" w:lineRule="exact"/>
              <w:ind w:left="100"/>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34"/>
                <w:kern w:val="0"/>
                <w:fitText w:val="1170" w:id="3"/>
              </w:rPr>
              <w:t>联系</w:t>
            </w:r>
            <w:r>
              <w:rPr>
                <w:rFonts w:hint="eastAsia" w:ascii="宋体" w:hAnsi="宋体" w:cs="宋体"/>
                <w:spacing w:val="1"/>
                <w:kern w:val="0"/>
                <w:fitText w:val="1170" w:id="3"/>
              </w:rPr>
              <w:t>人</w:t>
            </w:r>
          </w:p>
        </w:tc>
        <w:tc>
          <w:tcPr>
            <w:tcW w:w="6013" w:type="dxa"/>
            <w:gridSpan w:val="3"/>
            <w:vAlign w:val="center"/>
          </w:tcPr>
          <w:p>
            <w:pPr>
              <w:adjustRightInd w:val="0"/>
              <w:snapToGrid w:val="0"/>
              <w:spacing w:line="240" w:lineRule="exact"/>
              <w:ind w:left="200" w:right="-99" w:rightChars="-51"/>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134"/>
                <w:kern w:val="0"/>
                <w:fitText w:val="1170" w:id="4"/>
              </w:rPr>
              <w:t>联系</w:t>
            </w:r>
            <w:r>
              <w:rPr>
                <w:rFonts w:hint="eastAsia" w:ascii="宋体" w:hAnsi="宋体" w:cs="宋体"/>
                <w:spacing w:val="1"/>
                <w:kern w:val="0"/>
                <w:fitText w:val="1170" w:id="4"/>
              </w:rPr>
              <w:t>人</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5"/>
              </w:rPr>
              <w:t>联系电</w:t>
            </w:r>
            <w:r>
              <w:rPr>
                <w:rFonts w:hint="eastAsia" w:ascii="宋体" w:hAnsi="宋体" w:cs="宋体"/>
                <w:spacing w:val="30"/>
                <w:kern w:val="0"/>
                <w:fitText w:val="1170" w:id="5"/>
              </w:rPr>
              <w:t>话</w:t>
            </w:r>
          </w:p>
        </w:tc>
        <w:tc>
          <w:tcPr>
            <w:tcW w:w="6013" w:type="dxa"/>
            <w:gridSpan w:val="3"/>
            <w:vAlign w:val="center"/>
          </w:tcPr>
          <w:p>
            <w:pPr>
              <w:adjustRightInd w:val="0"/>
              <w:snapToGrid w:val="0"/>
              <w:spacing w:line="240" w:lineRule="exact"/>
              <w:ind w:left="200" w:right="-99" w:rightChars="-51"/>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6"/>
              </w:rPr>
              <w:t>联系电</w:t>
            </w:r>
            <w:r>
              <w:rPr>
                <w:rFonts w:hint="eastAsia" w:ascii="宋体" w:hAnsi="宋体" w:cs="宋体"/>
                <w:spacing w:val="30"/>
                <w:kern w:val="0"/>
                <w:fitText w:val="1170" w:id="6"/>
              </w:rPr>
              <w:t>话</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7"/>
              </w:rPr>
              <w:t>通讯地</w:t>
            </w:r>
            <w:r>
              <w:rPr>
                <w:rFonts w:hint="eastAsia" w:ascii="宋体" w:hAnsi="宋体" w:cs="宋体"/>
                <w:spacing w:val="30"/>
                <w:kern w:val="0"/>
                <w:fitText w:val="1170" w:id="7"/>
              </w:rPr>
              <w:t>址</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8"/>
              </w:rPr>
              <w:t>通讯地</w:t>
            </w:r>
            <w:r>
              <w:rPr>
                <w:rFonts w:hint="eastAsia" w:ascii="宋体" w:hAnsi="宋体" w:cs="宋体"/>
                <w:spacing w:val="30"/>
                <w:kern w:val="0"/>
                <w:fitText w:val="1170" w:id="8"/>
              </w:rPr>
              <w:t>址</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9"/>
              </w:rPr>
              <w:t>邮政编</w:t>
            </w:r>
            <w:r>
              <w:rPr>
                <w:rFonts w:hint="eastAsia" w:ascii="宋体" w:hAnsi="宋体" w:cs="宋体"/>
                <w:spacing w:val="30"/>
                <w:kern w:val="0"/>
                <w:fitText w:val="1170" w:id="9"/>
              </w:rPr>
              <w:t>码</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0"/>
              </w:rPr>
              <w:t>邮政编</w:t>
            </w:r>
            <w:r>
              <w:rPr>
                <w:rFonts w:hint="eastAsia" w:ascii="宋体" w:hAnsi="宋体" w:cs="宋体"/>
                <w:spacing w:val="30"/>
                <w:kern w:val="0"/>
                <w:fitText w:val="1170" w:id="10"/>
              </w:rPr>
              <w:t>码</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1"/>
              </w:rPr>
              <w:t>付款单</w:t>
            </w:r>
            <w:r>
              <w:rPr>
                <w:rFonts w:hint="eastAsia" w:ascii="宋体" w:hAnsi="宋体" w:cs="宋体"/>
                <w:spacing w:val="30"/>
                <w:kern w:val="0"/>
                <w:fitText w:val="1170" w:id="11"/>
              </w:rPr>
              <w:t>位</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2"/>
              </w:rPr>
              <w:t>开户名</w:t>
            </w:r>
            <w:r>
              <w:rPr>
                <w:rFonts w:hint="eastAsia" w:ascii="宋体" w:hAnsi="宋体" w:cs="宋体"/>
                <w:spacing w:val="30"/>
                <w:kern w:val="0"/>
                <w:fitText w:val="1170" w:id="12"/>
              </w:rPr>
              <w:t>称</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3"/>
              </w:rPr>
              <w:t>开户银</w:t>
            </w:r>
            <w:r>
              <w:rPr>
                <w:rFonts w:hint="eastAsia" w:ascii="宋体" w:hAnsi="宋体" w:cs="宋体"/>
                <w:spacing w:val="30"/>
                <w:kern w:val="0"/>
                <w:fitText w:val="1170" w:id="13"/>
              </w:rPr>
              <w:t>行</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4"/>
              </w:rPr>
              <w:t>开户银</w:t>
            </w:r>
            <w:r>
              <w:rPr>
                <w:rFonts w:hint="eastAsia" w:ascii="宋体" w:hAnsi="宋体" w:cs="宋体"/>
                <w:spacing w:val="30"/>
                <w:kern w:val="0"/>
                <w:fitText w:val="1170" w:id="14"/>
              </w:rPr>
              <w:t>行</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389"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5"/>
              </w:rPr>
              <w:t>银行账</w:t>
            </w:r>
            <w:r>
              <w:rPr>
                <w:rFonts w:hint="eastAsia" w:ascii="宋体" w:hAnsi="宋体" w:cs="宋体"/>
                <w:spacing w:val="30"/>
                <w:kern w:val="0"/>
                <w:fitText w:val="1170" w:id="15"/>
              </w:rPr>
              <w:t>号</w:t>
            </w:r>
          </w:p>
        </w:tc>
        <w:tc>
          <w:tcPr>
            <w:tcW w:w="6013" w:type="dxa"/>
            <w:gridSpan w:val="3"/>
            <w:vAlign w:val="center"/>
          </w:tcPr>
          <w:p>
            <w:pPr>
              <w:adjustRightInd w:val="0"/>
              <w:snapToGrid w:val="0"/>
              <w:spacing w:line="240" w:lineRule="exact"/>
              <w:ind w:left="100"/>
              <w:jc w:val="center"/>
              <w:rPr>
                <w:rFonts w:ascii="宋体" w:cs="Times New Roman"/>
              </w:rPr>
            </w:pPr>
          </w:p>
        </w:tc>
        <w:tc>
          <w:tcPr>
            <w:tcW w:w="1488" w:type="dxa"/>
            <w:gridSpan w:val="3"/>
            <w:vAlign w:val="center"/>
          </w:tcPr>
          <w:p>
            <w:pPr>
              <w:adjustRightInd w:val="0"/>
              <w:snapToGrid w:val="0"/>
              <w:spacing w:line="240" w:lineRule="exact"/>
              <w:jc w:val="center"/>
              <w:rPr>
                <w:rFonts w:ascii="宋体" w:cs="Times New Roman"/>
                <w:spacing w:val="55"/>
                <w:kern w:val="0"/>
              </w:rPr>
            </w:pPr>
            <w:r>
              <w:rPr>
                <w:rFonts w:hint="eastAsia" w:ascii="宋体" w:hAnsi="宋体" w:cs="宋体"/>
                <w:spacing w:val="45"/>
                <w:kern w:val="0"/>
                <w:fitText w:val="1170" w:id="16"/>
              </w:rPr>
              <w:t>银行账</w:t>
            </w:r>
            <w:r>
              <w:rPr>
                <w:rFonts w:hint="eastAsia" w:ascii="宋体" w:hAnsi="宋体" w:cs="宋体"/>
                <w:spacing w:val="30"/>
                <w:kern w:val="0"/>
                <w:fitText w:val="1170" w:id="16"/>
              </w:rPr>
              <w:t>号</w:t>
            </w:r>
          </w:p>
        </w:tc>
        <w:tc>
          <w:tcPr>
            <w:tcW w:w="5896" w:type="dxa"/>
            <w:gridSpan w:val="5"/>
            <w:vAlign w:val="center"/>
          </w:tcPr>
          <w:p>
            <w:pPr>
              <w:adjustRightInd w:val="0"/>
              <w:snapToGrid w:val="0"/>
              <w:spacing w:line="240" w:lineRule="exact"/>
              <w:ind w:left="100"/>
              <w:jc w:val="center"/>
              <w:rPr>
                <w:rFonts w:ascii="宋体" w:cs="Times New Roman"/>
                <w:spacing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14786" w:type="dxa"/>
            <w:gridSpan w:val="14"/>
            <w:vAlign w:val="center"/>
          </w:tcPr>
          <w:p>
            <w:pPr>
              <w:adjustRightInd w:val="0"/>
              <w:snapToGrid w:val="0"/>
              <w:spacing w:line="240" w:lineRule="exact"/>
              <w:rPr>
                <w:rFonts w:ascii="Times New Roman" w:hAnsi="Times New Roman" w:cs="Times New Roman"/>
                <w:snapToGrid w:val="0"/>
                <w:spacing w:val="-10"/>
              </w:rPr>
            </w:pPr>
            <w:r>
              <w:rPr>
                <w:rFonts w:hint="eastAsia" w:ascii="Times New Roman" w:hAnsi="Times New Roman" w:cs="宋体"/>
                <w:snapToGrid w:val="0"/>
                <w:spacing w:val="-10"/>
              </w:rPr>
              <w:t>一、计划任务文号：合同批准文号：采购机构资格证号：</w:t>
            </w:r>
          </w:p>
          <w:p>
            <w:pPr>
              <w:adjustRightInd w:val="0"/>
              <w:snapToGrid w:val="0"/>
              <w:spacing w:line="240" w:lineRule="exact"/>
              <w:rPr>
                <w:rFonts w:ascii="Times New Roman" w:hAnsi="Times New Roman" w:cs="Times New Roman"/>
                <w:snapToGrid w:val="0"/>
                <w:spacing w:val="-10"/>
                <w:sz w:val="18"/>
                <w:szCs w:val="18"/>
              </w:rPr>
            </w:pPr>
            <w:r>
              <w:rPr>
                <w:rFonts w:hint="eastAsia" w:ascii="Times New Roman" w:hAnsi="Times New Roman" w:cs="宋体"/>
                <w:snapToGrid w:val="0"/>
                <w:spacing w:val="-10"/>
              </w:rPr>
              <w:t>二、合同标的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r>
              <w:rPr>
                <w:rFonts w:hint="eastAsia" w:ascii="Times New Roman" w:hAnsi="Times New Roman" w:cs="宋体"/>
                <w:sz w:val="18"/>
                <w:szCs w:val="18"/>
              </w:rPr>
              <w:t>序号</w:t>
            </w:r>
          </w:p>
        </w:tc>
        <w:tc>
          <w:tcPr>
            <w:tcW w:w="659" w:type="dxa"/>
            <w:vAlign w:val="center"/>
          </w:tcPr>
          <w:p>
            <w:pPr>
              <w:adjustRightInd w:val="0"/>
              <w:snapToGrid w:val="0"/>
              <w:spacing w:line="240" w:lineRule="exact"/>
              <w:ind w:left="-101" w:leftChars="-52" w:right="-99" w:rightChars="-51"/>
              <w:jc w:val="center"/>
              <w:rPr>
                <w:rFonts w:ascii="Times New Roman" w:hAnsi="Times New Roman" w:cs="Times New Roman"/>
                <w:sz w:val="18"/>
                <w:szCs w:val="18"/>
              </w:rPr>
            </w:pPr>
            <w:r>
              <w:rPr>
                <w:rFonts w:hint="eastAsia" w:ascii="Times New Roman" w:hAnsi="Times New Roman" w:cs="宋体"/>
                <w:sz w:val="18"/>
                <w:szCs w:val="18"/>
              </w:rPr>
              <w:t>编码</w:t>
            </w:r>
          </w:p>
        </w:tc>
        <w:tc>
          <w:tcPr>
            <w:tcW w:w="1420" w:type="dxa"/>
            <w:gridSpan w:val="2"/>
            <w:vAlign w:val="center"/>
          </w:tcPr>
          <w:p>
            <w:pPr>
              <w:adjustRightInd w:val="0"/>
              <w:snapToGrid w:val="0"/>
              <w:spacing w:line="240" w:lineRule="exact"/>
              <w:ind w:left="-99" w:leftChars="-51" w:right="-99" w:rightChars="-51"/>
              <w:jc w:val="center"/>
              <w:rPr>
                <w:rFonts w:ascii="Times New Roman" w:hAnsi="Times New Roman" w:cs="Times New Roman"/>
                <w:sz w:val="18"/>
                <w:szCs w:val="18"/>
              </w:rPr>
            </w:pPr>
            <w:r>
              <w:rPr>
                <w:rFonts w:hint="eastAsia" w:ascii="Times New Roman" w:hAnsi="Times New Roman" w:cs="宋体"/>
                <w:sz w:val="18"/>
                <w:szCs w:val="18"/>
              </w:rPr>
              <w:t>物资名称</w:t>
            </w:r>
          </w:p>
        </w:tc>
        <w:tc>
          <w:tcPr>
            <w:tcW w:w="849" w:type="dxa"/>
            <w:vAlign w:val="center"/>
          </w:tcPr>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品牌</w:t>
            </w:r>
          </w:p>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商标</w:t>
            </w:r>
          </w:p>
        </w:tc>
        <w:tc>
          <w:tcPr>
            <w:tcW w:w="4256" w:type="dxa"/>
            <w:gridSpan w:val="2"/>
            <w:vAlign w:val="center"/>
          </w:tcPr>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规格型号</w:t>
            </w: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r>
              <w:rPr>
                <w:rFonts w:hint="eastAsia" w:ascii="Times New Roman" w:hAnsi="Times New Roman" w:cs="宋体"/>
                <w:sz w:val="18"/>
                <w:szCs w:val="18"/>
              </w:rPr>
              <w:t>计量</w:t>
            </w:r>
          </w:p>
          <w:p>
            <w:pPr>
              <w:adjustRightInd w:val="0"/>
              <w:snapToGrid w:val="0"/>
              <w:spacing w:line="240" w:lineRule="exact"/>
              <w:ind w:left="-108" w:right="-99" w:rightChars="-51"/>
              <w:jc w:val="center"/>
              <w:rPr>
                <w:rFonts w:ascii="Times New Roman" w:hAnsi="Times New Roman" w:cs="Times New Roman"/>
                <w:sz w:val="18"/>
                <w:szCs w:val="18"/>
              </w:rPr>
            </w:pPr>
            <w:r>
              <w:rPr>
                <w:rFonts w:hint="eastAsia" w:ascii="Times New Roman" w:hAnsi="Times New Roman" w:cs="宋体"/>
                <w:sz w:val="18"/>
                <w:szCs w:val="18"/>
              </w:rPr>
              <w:t>单位</w:t>
            </w:r>
          </w:p>
        </w:tc>
        <w:tc>
          <w:tcPr>
            <w:tcW w:w="991" w:type="dxa"/>
            <w:gridSpan w:val="2"/>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数量</w:t>
            </w:r>
          </w:p>
        </w:tc>
        <w:tc>
          <w:tcPr>
            <w:tcW w:w="1561"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单价</w:t>
            </w:r>
          </w:p>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（元）</w:t>
            </w:r>
          </w:p>
        </w:tc>
        <w:tc>
          <w:tcPr>
            <w:tcW w:w="1558" w:type="dxa"/>
            <w:vAlign w:val="center"/>
          </w:tcPr>
          <w:p>
            <w:pPr>
              <w:widowControl/>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合计金额</w:t>
            </w:r>
          </w:p>
          <w:p>
            <w:pPr>
              <w:adjustRightInd w:val="0"/>
              <w:snapToGrid w:val="0"/>
              <w:spacing w:line="240" w:lineRule="exact"/>
              <w:ind w:left="-99" w:leftChars="-51"/>
              <w:jc w:val="center"/>
              <w:rPr>
                <w:rFonts w:ascii="Times New Roman" w:hAnsi="Times New Roman" w:cs="Times New Roman"/>
                <w:sz w:val="18"/>
                <w:szCs w:val="18"/>
              </w:rPr>
            </w:pPr>
            <w:r>
              <w:rPr>
                <w:rFonts w:hint="eastAsia" w:ascii="Times New Roman" w:hAnsi="Times New Roman" w:cs="宋体"/>
                <w:sz w:val="18"/>
                <w:szCs w:val="18"/>
              </w:rPr>
              <w:t>（元）</w:t>
            </w:r>
          </w:p>
        </w:tc>
        <w:tc>
          <w:tcPr>
            <w:tcW w:w="1700"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交付时间</w:t>
            </w:r>
          </w:p>
        </w:tc>
        <w:tc>
          <w:tcPr>
            <w:tcW w:w="503" w:type="dxa"/>
            <w:vAlign w:val="center"/>
          </w:tcPr>
          <w:p>
            <w:pPr>
              <w:adjustRightInd w:val="0"/>
              <w:snapToGrid w:val="0"/>
              <w:spacing w:line="240" w:lineRule="exact"/>
              <w:ind w:left="-108"/>
              <w:jc w:val="center"/>
              <w:rPr>
                <w:rFonts w:ascii="Times New Roman" w:hAnsi="Times New Roman" w:cs="Times New Roman"/>
                <w:sz w:val="18"/>
                <w:szCs w:val="18"/>
              </w:rPr>
            </w:pPr>
            <w:r>
              <w:rPr>
                <w:rFonts w:hint="eastAsia" w:ascii="Times New Roman" w:hAnsi="Times New Roman" w:cs="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right="-113" w:rightChars="-58"/>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restart"/>
            <w:vAlign w:val="center"/>
          </w:tcPr>
          <w:p>
            <w:pPr>
              <w:adjustRightInd w:val="0"/>
              <w:snapToGrid w:val="0"/>
              <w:spacing w:line="240" w:lineRule="exact"/>
              <w:ind w:left="100"/>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2" w:type="dxa"/>
            <w:vAlign w:val="center"/>
          </w:tcPr>
          <w:p>
            <w:pPr>
              <w:adjustRightInd w:val="0"/>
              <w:snapToGrid w:val="0"/>
              <w:spacing w:line="240" w:lineRule="exact"/>
              <w:ind w:left="-105" w:right="-113" w:rightChars="-58"/>
              <w:jc w:val="center"/>
              <w:rPr>
                <w:rFonts w:ascii="Times New Roman" w:hAnsi="Times New Roman" w:cs="Times New Roman"/>
                <w:sz w:val="18"/>
                <w:szCs w:val="18"/>
              </w:rPr>
            </w:pPr>
          </w:p>
        </w:tc>
        <w:tc>
          <w:tcPr>
            <w:tcW w:w="65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pPr>
              <w:adjustRightInd w:val="0"/>
              <w:snapToGrid w:val="0"/>
              <w:spacing w:line="240" w:lineRule="exact"/>
              <w:ind w:left="-108" w:right="-99" w:rightChars="-51"/>
              <w:jc w:val="center"/>
              <w:rPr>
                <w:rFonts w:ascii="Times New Roman" w:hAnsi="Times New Roman" w:cs="Times New Roman"/>
                <w:sz w:val="18"/>
                <w:szCs w:val="18"/>
              </w:rPr>
            </w:pPr>
          </w:p>
        </w:tc>
        <w:tc>
          <w:tcPr>
            <w:tcW w:w="991" w:type="dxa"/>
            <w:gridSpan w:val="2"/>
            <w:vAlign w:val="center"/>
          </w:tcPr>
          <w:p>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pPr>
              <w:adjustRightInd w:val="0"/>
              <w:snapToGrid w:val="0"/>
              <w:spacing w:line="240" w:lineRule="exact"/>
              <w:ind w:left="100"/>
              <w:jc w:val="center"/>
              <w:rPr>
                <w:rFonts w:ascii="Times New Roman" w:hAnsi="Times New Roman" w:cs="Times New Roman"/>
                <w:sz w:val="18"/>
                <w:szCs w:val="18"/>
              </w:rPr>
            </w:pPr>
          </w:p>
        </w:tc>
        <w:tc>
          <w:tcPr>
            <w:tcW w:w="503" w:type="dxa"/>
            <w:vMerge w:val="continue"/>
            <w:vAlign w:val="center"/>
          </w:tcPr>
          <w:p>
            <w:pPr>
              <w:widowControl/>
              <w:spacing w:line="240" w:lineRule="exact"/>
              <w:jc w:val="left"/>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4786" w:type="dxa"/>
            <w:gridSpan w:val="14"/>
            <w:tcBorders>
              <w:top w:val="nil"/>
              <w:bottom w:val="single" w:color="auto" w:sz="12" w:space="0"/>
            </w:tcBorders>
            <w:vAlign w:val="center"/>
          </w:tcPr>
          <w:p>
            <w:pPr>
              <w:adjustRightInd w:val="0"/>
              <w:snapToGrid w:val="0"/>
              <w:spacing w:line="240" w:lineRule="exact"/>
              <w:ind w:firstLine="98" w:firstLineChars="50"/>
              <w:rPr>
                <w:rFonts w:ascii="Times New Roman" w:hAnsi="Times New Roman" w:cs="Times New Roman"/>
              </w:rPr>
            </w:pPr>
            <w:r>
              <w:rPr>
                <w:rFonts w:hint="eastAsia" w:ascii="Times New Roman" w:hAnsi="Times New Roman" w:cs="宋体"/>
              </w:rPr>
              <w:t>合计：人民币（）金额（大写）亿仟佰拾万仟佰拾元角分（小写）</w:t>
            </w:r>
            <w:r>
              <w:rPr>
                <w:rFonts w:ascii="Times New Roman" w:hAnsi="Times New Roman" w:cs="Times New Roman"/>
              </w:rPr>
              <w:t>¥</w:t>
            </w:r>
            <w:r>
              <w:rPr>
                <w:rFonts w:hint="eastAsia" w:ascii="Times New Roman" w:hAnsi="Times New Roman" w:cs="宋体"/>
              </w:rPr>
              <w:t>：</w:t>
            </w:r>
          </w:p>
        </w:tc>
      </w:tr>
    </w:tbl>
    <w:p>
      <w:pPr>
        <w:adjustRightInd w:val="0"/>
        <w:snapToGrid w:val="0"/>
        <w:spacing w:line="300" w:lineRule="exact"/>
        <w:rPr>
          <w:rFonts w:ascii="Times New Roman" w:hAnsi="Times New Roman" w:eastAsia="华文中宋" w:cs="Times New Roman"/>
        </w:rPr>
      </w:pPr>
    </w:p>
    <w:tbl>
      <w:tblPr>
        <w:tblStyle w:val="17"/>
        <w:tblW w:w="1478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14786" w:type="dxa"/>
            <w:tcBorders>
              <w:top w:val="single" w:color="auto" w:sz="12" w:space="0"/>
              <w:bottom w:val="single" w:color="auto" w:sz="4" w:space="0"/>
            </w:tcBorders>
            <w:vAlign w:val="center"/>
          </w:tcPr>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三、质量标准</w:t>
            </w:r>
            <w:r>
              <w:rPr>
                <w:rFonts w:hint="eastAsia" w:ascii="宋体" w:hAnsi="宋体" w:cs="宋体"/>
                <w:snapToGrid w:val="0"/>
                <w:sz w:val="18"/>
                <w:szCs w:val="18"/>
              </w:rPr>
              <w:t>乙方提供的货物必须是全新的、未使用过的，物资质量应符合</w:t>
            </w:r>
            <w:r>
              <w:rPr>
                <w:rFonts w:hint="eastAsia" w:ascii="宋体" w:cs="宋体"/>
                <w:snapToGrid w:val="0"/>
                <w:sz w:val="18"/>
                <w:szCs w:val="18"/>
              </w:rPr>
              <w:t>□</w:t>
            </w:r>
            <w:r>
              <w:rPr>
                <w:rFonts w:hint="eastAsia" w:ascii="宋体" w:hAnsi="宋体" w:cs="宋体"/>
                <w:snapToGrid w:val="0"/>
                <w:sz w:val="18"/>
                <w:szCs w:val="18"/>
              </w:rPr>
              <w:t>国际标准</w:t>
            </w:r>
            <w:r>
              <w:rPr>
                <w:rFonts w:hint="eastAsia" w:ascii="宋体" w:cs="宋体"/>
                <w:snapToGrid w:val="0"/>
                <w:sz w:val="18"/>
                <w:szCs w:val="18"/>
              </w:rPr>
              <w:t>□</w:t>
            </w:r>
            <w:r>
              <w:rPr>
                <w:rFonts w:hint="eastAsia" w:ascii="宋体" w:hAnsi="宋体" w:cs="宋体"/>
                <w:snapToGrid w:val="0"/>
                <w:sz w:val="18"/>
                <w:szCs w:val="18"/>
              </w:rPr>
              <w:t>国家标准</w:t>
            </w:r>
            <w:r>
              <w:rPr>
                <w:rFonts w:hint="eastAsia" w:ascii="宋体" w:cs="宋体"/>
                <w:snapToGrid w:val="0"/>
                <w:sz w:val="18"/>
                <w:szCs w:val="18"/>
              </w:rPr>
              <w:t>□</w:t>
            </w:r>
            <w:r>
              <w:rPr>
                <w:rFonts w:hint="eastAsia" w:ascii="宋体" w:hAnsi="宋体" w:cs="宋体"/>
                <w:snapToGrid w:val="0"/>
                <w:sz w:val="18"/>
                <w:szCs w:val="18"/>
              </w:rPr>
              <w:t>国军标</w:t>
            </w:r>
            <w:r>
              <w:rPr>
                <w:rFonts w:hint="eastAsia" w:ascii="宋体" w:cs="宋体"/>
                <w:snapToGrid w:val="0"/>
                <w:sz w:val="18"/>
                <w:szCs w:val="18"/>
              </w:rPr>
              <w:t>□</w:t>
            </w:r>
            <w:r>
              <w:rPr>
                <w:rFonts w:hint="eastAsia" w:ascii="宋体" w:hAnsi="宋体" w:cs="宋体"/>
                <w:snapToGrid w:val="0"/>
                <w:sz w:val="18"/>
                <w:szCs w:val="18"/>
              </w:rPr>
              <w:t>行业标准</w:t>
            </w:r>
            <w:r>
              <w:rPr>
                <w:rFonts w:hint="eastAsia" w:ascii="宋体" w:cs="宋体"/>
                <w:snapToGrid w:val="0"/>
                <w:sz w:val="18"/>
                <w:szCs w:val="18"/>
              </w:rPr>
              <w:t>□</w:t>
            </w:r>
            <w:r>
              <w:rPr>
                <w:rFonts w:hint="eastAsia" w:ascii="宋体" w:hAnsi="宋体" w:cs="宋体"/>
                <w:snapToGrid w:val="0"/>
                <w:sz w:val="18"/>
                <w:szCs w:val="18"/>
              </w:rPr>
              <w:t>企业标准</w:t>
            </w:r>
            <w:r>
              <w:rPr>
                <w:rFonts w:hint="eastAsia" w:ascii="宋体" w:cs="宋体"/>
                <w:snapToGrid w:val="0"/>
                <w:sz w:val="18"/>
                <w:szCs w:val="18"/>
              </w:rPr>
              <w:t>□</w:t>
            </w:r>
            <w:r>
              <w:rPr>
                <w:rFonts w:hint="eastAsia" w:ascii="宋体" w:hAnsi="宋体" w:cs="宋体"/>
                <w:snapToGrid w:val="0"/>
                <w:sz w:val="18"/>
                <w:szCs w:val="18"/>
              </w:rPr>
              <w:t>设计任务书</w:t>
            </w:r>
            <w:r>
              <w:rPr>
                <w:rFonts w:hint="eastAsia" w:ascii="宋体" w:cs="宋体"/>
                <w:snapToGrid w:val="0"/>
                <w:sz w:val="18"/>
                <w:szCs w:val="18"/>
              </w:rPr>
              <w:t>□</w:t>
            </w:r>
            <w:r>
              <w:rPr>
                <w:rFonts w:hint="eastAsia" w:ascii="宋体" w:hAnsi="宋体" w:cs="宋体"/>
                <w:snapToGrid w:val="0"/>
                <w:sz w:val="18"/>
                <w:szCs w:val="18"/>
              </w:rPr>
              <w:t>投标书或投标文件承</w:t>
            </w:r>
          </w:p>
          <w:p>
            <w:pPr>
              <w:adjustRightInd w:val="0"/>
              <w:snapToGrid w:val="0"/>
              <w:spacing w:line="260" w:lineRule="exact"/>
              <w:ind w:firstLine="1239" w:firstLineChars="751"/>
              <w:rPr>
                <w:rFonts w:ascii="宋体" w:cs="Times New Roman"/>
                <w:snapToGrid w:val="0"/>
                <w:sz w:val="18"/>
                <w:szCs w:val="18"/>
                <w:u w:val="single"/>
              </w:rPr>
            </w:pPr>
            <w:r>
              <w:rPr>
                <w:rFonts w:hint="eastAsia" w:ascii="宋体" w:hAnsi="宋体" w:cs="宋体"/>
                <w:snapToGrid w:val="0"/>
                <w:sz w:val="18"/>
                <w:szCs w:val="18"/>
              </w:rPr>
              <w:t>诺</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b/>
                <w:bCs/>
                <w:snapToGrid w:val="0"/>
                <w:sz w:val="18"/>
                <w:szCs w:val="18"/>
              </w:rPr>
            </w:pPr>
            <w:r>
              <w:rPr>
                <w:rFonts w:hint="eastAsia" w:ascii="黑体" w:hAnsi="黑体" w:eastAsia="黑体" w:cs="黑体"/>
                <w:snapToGrid w:val="0"/>
                <w:sz w:val="18"/>
                <w:szCs w:val="18"/>
              </w:rPr>
              <w:t>四、包装及资料</w:t>
            </w:r>
            <w:r>
              <w:rPr>
                <w:rFonts w:hint="eastAsia" w:ascii="宋体" w:hAnsi="宋体" w:cs="宋体"/>
                <w:snapToGrid w:val="0"/>
                <w:sz w:val="18"/>
                <w:szCs w:val="18"/>
              </w:rPr>
              <w:t>物资包装应符合</w:t>
            </w:r>
            <w:r>
              <w:rPr>
                <w:rFonts w:hint="eastAsia" w:ascii="宋体" w:cs="宋体"/>
                <w:snapToGrid w:val="0"/>
                <w:sz w:val="18"/>
                <w:szCs w:val="18"/>
              </w:rPr>
              <w:t>□</w:t>
            </w:r>
            <w:r>
              <w:rPr>
                <w:rFonts w:hint="eastAsia" w:ascii="宋体" w:hAnsi="宋体" w:cs="宋体"/>
                <w:snapToGrid w:val="0"/>
                <w:sz w:val="18"/>
                <w:szCs w:val="18"/>
              </w:rPr>
              <w:t>国际标准</w:t>
            </w:r>
            <w:r>
              <w:rPr>
                <w:rFonts w:hint="eastAsia" w:ascii="宋体" w:cs="宋体"/>
                <w:snapToGrid w:val="0"/>
                <w:sz w:val="18"/>
                <w:szCs w:val="18"/>
              </w:rPr>
              <w:t>□</w:t>
            </w:r>
            <w:r>
              <w:rPr>
                <w:rFonts w:hint="eastAsia" w:ascii="宋体" w:hAnsi="宋体" w:cs="宋体"/>
                <w:snapToGrid w:val="0"/>
                <w:sz w:val="18"/>
                <w:szCs w:val="18"/>
              </w:rPr>
              <w:t>国家标准</w:t>
            </w:r>
            <w:r>
              <w:rPr>
                <w:rFonts w:hint="eastAsia" w:ascii="宋体" w:cs="宋体"/>
                <w:snapToGrid w:val="0"/>
                <w:sz w:val="18"/>
                <w:szCs w:val="18"/>
              </w:rPr>
              <w:t>□</w:t>
            </w:r>
            <w:r>
              <w:rPr>
                <w:rFonts w:hint="eastAsia" w:ascii="宋体" w:hAnsi="宋体" w:cs="宋体"/>
                <w:snapToGrid w:val="0"/>
                <w:sz w:val="18"/>
                <w:szCs w:val="18"/>
              </w:rPr>
              <w:t>国军标</w:t>
            </w:r>
            <w:r>
              <w:rPr>
                <w:rFonts w:hint="eastAsia" w:ascii="宋体" w:cs="宋体"/>
                <w:snapToGrid w:val="0"/>
                <w:sz w:val="18"/>
                <w:szCs w:val="18"/>
              </w:rPr>
              <w:t>□</w:t>
            </w:r>
            <w:r>
              <w:rPr>
                <w:rFonts w:hint="eastAsia" w:ascii="宋体" w:hAnsi="宋体" w:cs="宋体"/>
                <w:snapToGrid w:val="0"/>
                <w:sz w:val="18"/>
                <w:szCs w:val="18"/>
              </w:rPr>
              <w:t>行业标准</w:t>
            </w:r>
            <w:r>
              <w:rPr>
                <w:rFonts w:hint="eastAsia" w:ascii="宋体" w:cs="宋体"/>
                <w:snapToGrid w:val="0"/>
                <w:sz w:val="18"/>
                <w:szCs w:val="18"/>
              </w:rPr>
              <w:t>□</w:t>
            </w:r>
            <w:r>
              <w:rPr>
                <w:rFonts w:hint="eastAsia" w:ascii="宋体" w:hAnsi="宋体" w:cs="宋体"/>
                <w:snapToGrid w:val="0"/>
                <w:sz w:val="18"/>
                <w:szCs w:val="18"/>
              </w:rPr>
              <w:t>企业标准</w:t>
            </w:r>
            <w:r>
              <w:rPr>
                <w:rFonts w:hint="eastAsia" w:ascii="宋体" w:cs="宋体"/>
                <w:snapToGrid w:val="0"/>
                <w:sz w:val="18"/>
                <w:szCs w:val="18"/>
              </w:rPr>
              <w:t>□</w:t>
            </w:r>
            <w:r>
              <w:rPr>
                <w:rFonts w:hint="eastAsia" w:ascii="宋体" w:hAnsi="宋体" w:cs="宋体"/>
                <w:snapToGrid w:val="0"/>
                <w:sz w:val="18"/>
                <w:szCs w:val="18"/>
              </w:rPr>
              <w:t>设计任务书</w:t>
            </w:r>
            <w:r>
              <w:rPr>
                <w:rFonts w:hint="eastAsia" w:ascii="宋体" w:cs="宋体"/>
                <w:snapToGrid w:val="0"/>
                <w:sz w:val="18"/>
                <w:szCs w:val="18"/>
              </w:rPr>
              <w:t>□</w:t>
            </w:r>
            <w:r>
              <w:rPr>
                <w:rFonts w:hint="eastAsia" w:ascii="宋体" w:hAnsi="宋体" w:cs="宋体"/>
                <w:snapToGrid w:val="0"/>
                <w:sz w:val="18"/>
                <w:szCs w:val="18"/>
              </w:rPr>
              <w:t>投标书或投标文件承诺</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ind w:firstLine="1404" w:firstLineChars="851"/>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物资出厂资料</w:t>
            </w:r>
            <w:r>
              <w:rPr>
                <w:rFonts w:hint="eastAsia" w:ascii="宋体" w:cs="宋体"/>
                <w:snapToGrid w:val="0"/>
                <w:sz w:val="18"/>
                <w:szCs w:val="18"/>
              </w:rPr>
              <w:t>□</w:t>
            </w:r>
            <w:r>
              <w:rPr>
                <w:rFonts w:hint="eastAsia" w:ascii="宋体" w:hAnsi="宋体" w:cs="宋体"/>
                <w:snapToGrid w:val="0"/>
                <w:sz w:val="18"/>
                <w:szCs w:val="18"/>
              </w:rPr>
              <w:t>中文使用操作说明书（套）</w:t>
            </w:r>
            <w:r>
              <w:rPr>
                <w:rFonts w:hint="eastAsia" w:ascii="宋体" w:cs="宋体"/>
                <w:snapToGrid w:val="0"/>
                <w:sz w:val="18"/>
                <w:szCs w:val="18"/>
              </w:rPr>
              <w:t>□</w:t>
            </w:r>
            <w:r>
              <w:rPr>
                <w:rFonts w:hint="eastAsia" w:ascii="宋体" w:hAnsi="宋体" w:cs="宋体"/>
                <w:snapToGrid w:val="0"/>
                <w:sz w:val="18"/>
                <w:szCs w:val="18"/>
              </w:rPr>
              <w:t>售后服务手册</w:t>
            </w:r>
            <w:r>
              <w:rPr>
                <w:rFonts w:hint="eastAsia" w:ascii="宋体" w:cs="宋体"/>
                <w:snapToGrid w:val="0"/>
                <w:sz w:val="18"/>
                <w:szCs w:val="18"/>
              </w:rPr>
              <w:t>□</w:t>
            </w:r>
            <w:r>
              <w:rPr>
                <w:rFonts w:hint="eastAsia" w:ascii="宋体" w:hAnsi="宋体" w:cs="宋体"/>
                <w:snapToGrid w:val="0"/>
                <w:sz w:val="18"/>
                <w:szCs w:val="18"/>
              </w:rPr>
              <w:t>操作维修光盘（套）</w:t>
            </w:r>
            <w:r>
              <w:rPr>
                <w:rFonts w:hint="eastAsia" w:ascii="宋体" w:cs="宋体"/>
                <w:snapToGrid w:val="0"/>
                <w:sz w:val="18"/>
                <w:szCs w:val="18"/>
              </w:rPr>
              <w:t>□</w:t>
            </w:r>
            <w:r>
              <w:rPr>
                <w:rFonts w:hint="eastAsia" w:ascii="宋体" w:hAnsi="宋体" w:cs="宋体"/>
                <w:snapToGrid w:val="0"/>
                <w:sz w:val="18"/>
                <w:szCs w:val="18"/>
              </w:rPr>
              <w:t>履历书</w:t>
            </w:r>
            <w:r>
              <w:rPr>
                <w:rFonts w:hint="eastAsia" w:ascii="宋体" w:cs="宋体"/>
                <w:snapToGrid w:val="0"/>
                <w:sz w:val="18"/>
                <w:szCs w:val="18"/>
              </w:rPr>
              <w:t>□</w:t>
            </w:r>
            <w:r>
              <w:rPr>
                <w:rFonts w:hint="eastAsia" w:ascii="宋体" w:hAnsi="宋体" w:cs="宋体"/>
                <w:snapToGrid w:val="0"/>
                <w:sz w:val="18"/>
                <w:szCs w:val="18"/>
              </w:rPr>
              <w:t>装箱清单</w:t>
            </w:r>
            <w:r>
              <w:rPr>
                <w:rFonts w:hint="eastAsia" w:ascii="宋体" w:cs="宋体"/>
                <w:snapToGrid w:val="0"/>
                <w:sz w:val="18"/>
                <w:szCs w:val="18"/>
              </w:rPr>
              <w:t>□</w:t>
            </w:r>
            <w:r>
              <w:rPr>
                <w:rFonts w:hint="eastAsia" w:ascii="宋体" w:hAnsi="宋体" w:cs="宋体"/>
                <w:snapToGrid w:val="0"/>
                <w:sz w:val="18"/>
                <w:szCs w:val="18"/>
              </w:rPr>
              <w:t>随装工具</w:t>
            </w:r>
            <w:r>
              <w:rPr>
                <w:rFonts w:hint="eastAsia" w:ascii="宋体" w:cs="宋体"/>
                <w:snapToGrid w:val="0"/>
                <w:sz w:val="18"/>
                <w:szCs w:val="18"/>
              </w:rPr>
              <w:t>□</w:t>
            </w:r>
            <w:r>
              <w:rPr>
                <w:rFonts w:hint="eastAsia" w:ascii="宋体" w:hAnsi="宋体" w:cs="宋体"/>
                <w:snapToGrid w:val="0"/>
                <w:sz w:val="18"/>
                <w:szCs w:val="18"/>
              </w:rPr>
              <w:t>随装备件</w:t>
            </w:r>
          </w:p>
          <w:p>
            <w:pPr>
              <w:adjustRightInd w:val="0"/>
              <w:snapToGrid w:val="0"/>
              <w:spacing w:line="260" w:lineRule="exact"/>
              <w:ind w:firstLine="1404" w:firstLineChars="851"/>
              <w:rPr>
                <w:rFonts w:ascii="宋体" w:cs="Times New Roman"/>
                <w:b/>
                <w:bCs/>
                <w:snapToGrid w:val="0"/>
                <w:sz w:val="18"/>
                <w:szCs w:val="18"/>
              </w:rPr>
            </w:pPr>
            <w:r>
              <w:rPr>
                <w:rFonts w:hint="eastAsia" w:ascii="宋体" w:cs="宋体"/>
                <w:snapToGrid w:val="0"/>
                <w:sz w:val="18"/>
                <w:szCs w:val="18"/>
              </w:rPr>
              <w:t>□</w:t>
            </w:r>
            <w:r>
              <w:rPr>
                <w:rFonts w:hint="eastAsia" w:ascii="宋体" w:hAnsi="宋体" w:cs="宋体"/>
                <w:snapToGrid w:val="0"/>
                <w:sz w:val="18"/>
                <w:szCs w:val="18"/>
              </w:rPr>
              <w:t>质量检验证明□产品合格证</w:t>
            </w:r>
            <w:r>
              <w:rPr>
                <w:rFonts w:hint="eastAsia" w:ascii="宋体" w:cs="宋体"/>
                <w:snapToGrid w:val="0"/>
                <w:sz w:val="18"/>
                <w:szCs w:val="18"/>
              </w:rPr>
              <w:t>□</w:t>
            </w:r>
            <w:r>
              <w:rPr>
                <w:rFonts w:hint="eastAsia" w:ascii="宋体" w:hAnsi="宋体" w:cs="宋体"/>
                <w:snapToGrid w:val="0"/>
                <w:sz w:val="18"/>
                <w:szCs w:val="18"/>
              </w:rPr>
              <w:t>军检合格证</w:t>
            </w:r>
            <w:r>
              <w:rPr>
                <w:rFonts w:hint="eastAsia" w:ascii="宋体" w:cs="宋体"/>
                <w:snapToGrid w:val="0"/>
                <w:sz w:val="18"/>
                <w:szCs w:val="18"/>
              </w:rPr>
              <w:t>□</w:t>
            </w:r>
            <w:r>
              <w:rPr>
                <w:rFonts w:hint="eastAsia" w:ascii="宋体" w:hAnsi="宋体" w:cs="宋体"/>
                <w:snapToGrid w:val="0"/>
                <w:sz w:val="18"/>
                <w:szCs w:val="18"/>
              </w:rPr>
              <w:t>装备铭牌（块数、式样、材质、安装位置供需双方商定）</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五、检验验收</w:t>
            </w:r>
            <w:r>
              <w:rPr>
                <w:rFonts w:hint="eastAsia" w:ascii="宋体" w:cs="宋体"/>
                <w:snapToGrid w:val="0"/>
                <w:sz w:val="18"/>
                <w:szCs w:val="18"/>
              </w:rPr>
              <w:t>□</w:t>
            </w:r>
            <w:r>
              <w:rPr>
                <w:rFonts w:hint="eastAsia" w:ascii="宋体" w:hAnsi="宋体" w:cs="宋体"/>
                <w:snapToGrid w:val="0"/>
                <w:sz w:val="18"/>
                <w:szCs w:val="18"/>
              </w:rPr>
              <w:t>出厂验收由组织，乙方配合。□乙方详细生产地址。</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交货验收</w:t>
            </w:r>
            <w:r>
              <w:rPr>
                <w:rFonts w:hint="eastAsia" w:ascii="宋体" w:cs="宋体"/>
                <w:snapToGrid w:val="0"/>
                <w:sz w:val="18"/>
                <w:szCs w:val="18"/>
              </w:rPr>
              <w:t>□</w:t>
            </w:r>
            <w:r>
              <w:rPr>
                <w:rFonts w:hint="eastAsia" w:ascii="宋体" w:hAnsi="宋体" w:cs="宋体"/>
                <w:snapToGrid w:val="0"/>
                <w:sz w:val="18"/>
                <w:szCs w:val="18"/>
              </w:rPr>
              <w:t>过程检验□其它。</w:t>
            </w:r>
          </w:p>
          <w:p>
            <w:pPr>
              <w:adjustRightInd w:val="0"/>
              <w:snapToGrid w:val="0"/>
              <w:spacing w:line="260" w:lineRule="exact"/>
              <w:rPr>
                <w:rFonts w:ascii="Times New Roman" w:hAnsi="Times New Roman" w:cs="Times New Roman"/>
                <w:b/>
                <w:bCs/>
                <w:snapToGrid w:val="0"/>
                <w:sz w:val="18"/>
                <w:szCs w:val="18"/>
              </w:rPr>
            </w:pPr>
            <w:r>
              <w:rPr>
                <w:rFonts w:hint="eastAsia" w:ascii="黑体" w:hAnsi="黑体" w:eastAsia="黑体" w:cs="黑体"/>
                <w:snapToGrid w:val="0"/>
                <w:sz w:val="18"/>
                <w:szCs w:val="18"/>
              </w:rPr>
              <w:t>六、交货地点</w:t>
            </w:r>
            <w:r>
              <w:rPr>
                <w:rFonts w:hint="eastAsia" w:ascii="宋体" w:cs="宋体"/>
                <w:snapToGrid w:val="0"/>
                <w:sz w:val="18"/>
                <w:szCs w:val="18"/>
              </w:rPr>
              <w:t>□</w:t>
            </w:r>
            <w:r>
              <w:rPr>
                <w:rFonts w:hint="eastAsia" w:ascii="宋体" w:hAnsi="宋体" w:cs="宋体"/>
                <w:snapToGrid w:val="0"/>
                <w:sz w:val="18"/>
                <w:szCs w:val="18"/>
              </w:rPr>
              <w:t>乙方</w:t>
            </w:r>
            <w:r>
              <w:rPr>
                <w:rFonts w:hint="eastAsia" w:ascii="宋体" w:cs="宋体"/>
                <w:snapToGrid w:val="0"/>
                <w:sz w:val="18"/>
                <w:szCs w:val="18"/>
              </w:rPr>
              <w:t>□</w:t>
            </w:r>
            <w:r>
              <w:rPr>
                <w:rFonts w:hint="eastAsia" w:ascii="宋体" w:hAnsi="宋体" w:cs="宋体"/>
                <w:snapToGrid w:val="0"/>
                <w:sz w:val="18"/>
                <w:szCs w:val="18"/>
              </w:rPr>
              <w:t>甲方发运接收单指定地点</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七、交货方式</w:t>
            </w:r>
            <w:r>
              <w:rPr>
                <w:rFonts w:hint="eastAsia" w:ascii="宋体" w:cs="宋体"/>
                <w:snapToGrid w:val="0"/>
                <w:sz w:val="18"/>
                <w:szCs w:val="18"/>
              </w:rPr>
              <w:t>□</w:t>
            </w:r>
            <w:r>
              <w:rPr>
                <w:rFonts w:hint="eastAsia" w:ascii="宋体" w:hAnsi="宋体" w:cs="宋体"/>
                <w:snapToGrid w:val="0"/>
                <w:sz w:val="18"/>
                <w:szCs w:val="18"/>
              </w:rPr>
              <w:t>甲方自提　</w:t>
            </w:r>
            <w:r>
              <w:rPr>
                <w:rFonts w:hint="eastAsia" w:ascii="宋体" w:cs="宋体"/>
                <w:snapToGrid w:val="0"/>
                <w:sz w:val="18"/>
                <w:szCs w:val="18"/>
              </w:rPr>
              <w:t>□</w:t>
            </w:r>
            <w:r>
              <w:rPr>
                <w:rFonts w:hint="eastAsia" w:ascii="宋体" w:hAnsi="宋体" w:cs="宋体"/>
                <w:snapToGrid w:val="0"/>
                <w:sz w:val="18"/>
                <w:szCs w:val="18"/>
              </w:rPr>
              <w:t>乙方送货　</w:t>
            </w:r>
            <w:r>
              <w:rPr>
                <w:rFonts w:hint="eastAsia" w:ascii="宋体" w:cs="宋体"/>
                <w:snapToGrid w:val="0"/>
                <w:sz w:val="18"/>
                <w:szCs w:val="18"/>
              </w:rPr>
              <w:t>□</w:t>
            </w:r>
            <w:r>
              <w:rPr>
                <w:rFonts w:hint="eastAsia" w:ascii="宋体" w:hAnsi="宋体" w:cs="宋体"/>
                <w:snapToGrid w:val="0"/>
                <w:sz w:val="18"/>
                <w:szCs w:val="18"/>
              </w:rPr>
              <w:t>甲方负责申请（</w:t>
            </w:r>
            <w:r>
              <w:rPr>
                <w:rFonts w:hint="eastAsia" w:ascii="宋体" w:cs="宋体"/>
                <w:snapToGrid w:val="0"/>
                <w:sz w:val="18"/>
                <w:szCs w:val="18"/>
              </w:rPr>
              <w:t>□</w:t>
            </w:r>
            <w:r>
              <w:rPr>
                <w:rFonts w:hint="eastAsia" w:ascii="宋体" w:hAnsi="宋体" w:cs="宋体"/>
                <w:snapToGrid w:val="0"/>
                <w:sz w:val="18"/>
                <w:szCs w:val="18"/>
              </w:rPr>
              <w:t>公路□铁路□水运□航空）军事运输计划组织发运，乙方配合</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rPr>
                <w:rFonts w:ascii="Times New Roman" w:hAnsi="Times New Roman" w:cs="Times New Roman"/>
                <w:snapToGrid w:val="0"/>
                <w:sz w:val="18"/>
                <w:szCs w:val="18"/>
                <w:u w:val="single"/>
              </w:rPr>
            </w:pPr>
            <w:r>
              <w:rPr>
                <w:rFonts w:hint="eastAsia" w:ascii="黑体" w:hAnsi="黑体" w:eastAsia="黑体" w:cs="黑体"/>
                <w:snapToGrid w:val="0"/>
                <w:sz w:val="18"/>
                <w:szCs w:val="18"/>
              </w:rPr>
              <w:t>八、运输费用</w:t>
            </w:r>
            <w:r>
              <w:rPr>
                <w:rFonts w:hint="eastAsia" w:ascii="宋体" w:hAnsi="宋体" w:cs="宋体"/>
                <w:snapToGrid w:val="0"/>
                <w:sz w:val="18"/>
                <w:szCs w:val="18"/>
              </w:rPr>
              <w:t>□甲方承担，乙方代垫，凭票据报销</w:t>
            </w:r>
            <w:r>
              <w:rPr>
                <w:rFonts w:hint="eastAsia" w:ascii="宋体" w:cs="宋体"/>
                <w:snapToGrid w:val="0"/>
                <w:sz w:val="18"/>
                <w:szCs w:val="18"/>
              </w:rPr>
              <w:t>□</w:t>
            </w:r>
            <w:r>
              <w:rPr>
                <w:rFonts w:hint="eastAsia" w:ascii="宋体" w:hAnsi="宋体" w:cs="宋体"/>
                <w:snapToGrid w:val="0"/>
                <w:sz w:val="18"/>
                <w:szCs w:val="18"/>
              </w:rPr>
              <w:t>乙方承担</w:t>
            </w:r>
            <w:r>
              <w:rPr>
                <w:rFonts w:hint="eastAsia" w:ascii="宋体" w:cs="宋体"/>
                <w:snapToGrid w:val="0"/>
                <w:sz w:val="18"/>
                <w:szCs w:val="18"/>
              </w:rPr>
              <w:t>□</w:t>
            </w:r>
            <w:r>
              <w:rPr>
                <w:rFonts w:hint="eastAsia" w:ascii="宋体" w:hAnsi="宋体" w:cs="宋体"/>
                <w:snapToGrid w:val="0"/>
                <w:sz w:val="18"/>
                <w:szCs w:val="18"/>
              </w:rPr>
              <w:t>甲方承担费用元，乙方包干使用</w:t>
            </w:r>
            <w:r>
              <w:rPr>
                <w:rFonts w:hint="eastAsia" w:ascii="宋体" w:cs="宋体"/>
                <w:snapToGrid w:val="0"/>
                <w:sz w:val="18"/>
                <w:szCs w:val="18"/>
              </w:rPr>
              <w:t>□</w:t>
            </w:r>
            <w:r>
              <w:rPr>
                <w:rFonts w:hint="eastAsia" w:ascii="宋体" w:hAnsi="宋体" w:cs="宋体"/>
                <w:snapToGrid w:val="0"/>
                <w:sz w:val="18"/>
                <w:szCs w:val="18"/>
              </w:rPr>
              <w:t>其它。</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九、售后服务</w:t>
            </w:r>
            <w:r>
              <w:rPr>
                <w:rFonts w:hint="eastAsia" w:ascii="宋体" w:cs="宋体"/>
                <w:snapToGrid w:val="0"/>
                <w:sz w:val="18"/>
                <w:szCs w:val="18"/>
              </w:rPr>
              <w:t>□</w:t>
            </w:r>
            <w:r>
              <w:rPr>
                <w:rFonts w:hint="eastAsia" w:ascii="宋体" w:hAnsi="宋体" w:cs="宋体"/>
                <w:snapToGrid w:val="0"/>
                <w:sz w:val="18"/>
                <w:szCs w:val="18"/>
              </w:rPr>
              <w:t>售后服务联系方式：固定电话，手机，电子邮箱。</w:t>
            </w:r>
          </w:p>
          <w:p>
            <w:pPr>
              <w:adjustRightInd w:val="0"/>
              <w:snapToGrid w:val="0"/>
              <w:spacing w:line="260" w:lineRule="exact"/>
              <w:ind w:firstLine="1279" w:firstLineChars="775"/>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质保期。质保期内，超出质保期后。</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lang w:eastAsia="zh-CN"/>
              </w:rPr>
              <w:t>☑</w:t>
            </w:r>
            <w:r>
              <w:rPr>
                <w:rFonts w:hint="eastAsia" w:ascii="宋体" w:hAnsi="宋体" w:cs="宋体"/>
                <w:snapToGrid w:val="0"/>
                <w:sz w:val="18"/>
                <w:szCs w:val="18"/>
              </w:rPr>
              <w:t>保修期。保修期内，超出保修期后。</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培训方式及费用承担。</w:t>
            </w:r>
          </w:p>
          <w:p>
            <w:pPr>
              <w:adjustRightInd w:val="0"/>
              <w:snapToGrid w:val="0"/>
              <w:spacing w:line="260" w:lineRule="exact"/>
              <w:ind w:firstLine="1284" w:firstLineChars="778"/>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乙方承诺在战时和平时特殊情况下的军事行动中优先向甲方提供有关支援服务。</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82" w:hangingChars="777"/>
              <w:rPr>
                <w:rFonts w:ascii="宋体" w:cs="Times New Roman"/>
                <w:snapToGrid w:val="0"/>
                <w:sz w:val="18"/>
                <w:szCs w:val="18"/>
              </w:rPr>
            </w:pPr>
            <w:r>
              <w:rPr>
                <w:rFonts w:hint="eastAsia" w:ascii="黑体" w:hAnsi="黑体" w:eastAsia="黑体" w:cs="黑体"/>
                <w:snapToGrid w:val="0"/>
                <w:sz w:val="18"/>
                <w:szCs w:val="18"/>
              </w:rPr>
              <w:t>十、资金结算</w:t>
            </w:r>
            <w:r>
              <w:rPr>
                <w:rFonts w:hint="eastAsia" w:ascii="宋体" w:cs="宋体"/>
                <w:snapToGrid w:val="0"/>
                <w:sz w:val="18"/>
                <w:szCs w:val="18"/>
              </w:rPr>
              <w:t>□</w:t>
            </w:r>
            <w:r>
              <w:rPr>
                <w:rFonts w:hint="eastAsia" w:ascii="宋体" w:hAnsi="宋体" w:cs="宋体"/>
                <w:snapToGrid w:val="0"/>
                <w:sz w:val="18"/>
                <w:szCs w:val="18"/>
              </w:rPr>
              <w:t>自本合同签订生效之日起天内，甲方向乙方支付合同总金额的</w:t>
            </w:r>
            <w:r>
              <w:rPr>
                <w:rFonts w:ascii="宋体" w:hAnsi="宋体" w:cs="宋体"/>
                <w:snapToGrid w:val="0"/>
                <w:sz w:val="18"/>
                <w:szCs w:val="18"/>
              </w:rPr>
              <w:t>%</w:t>
            </w:r>
            <w:r>
              <w:rPr>
                <w:rFonts w:hint="eastAsia" w:ascii="宋体" w:hAnsi="宋体" w:cs="宋体"/>
                <w:snapToGrid w:val="0"/>
                <w:sz w:val="18"/>
                <w:szCs w:val="18"/>
              </w:rPr>
              <w:t>的预付款。</w:t>
            </w:r>
            <w:r>
              <w:rPr>
                <w:rFonts w:hint="eastAsia" w:ascii="宋体" w:cs="宋体"/>
                <w:snapToGrid w:val="0"/>
                <w:sz w:val="18"/>
                <w:szCs w:val="18"/>
              </w:rPr>
              <w:t>□</w:t>
            </w:r>
            <w:r>
              <w:rPr>
                <w:rFonts w:hint="eastAsia" w:ascii="宋体" w:hAnsi="宋体" w:cs="宋体"/>
                <w:snapToGrid w:val="0"/>
                <w:sz w:val="18"/>
                <w:szCs w:val="18"/>
              </w:rPr>
              <w:t>首检合格后再办理预付款。物资检验验收合格并完成交货后天内，甲方凭乙方提供的相关票据单证，向乙方支付合同总金额的</w:t>
            </w:r>
            <w:r>
              <w:rPr>
                <w:rFonts w:ascii="宋体" w:hAnsi="宋体" w:cs="宋体"/>
                <w:snapToGrid w:val="0"/>
                <w:sz w:val="18"/>
                <w:szCs w:val="18"/>
              </w:rPr>
              <w:t>%</w:t>
            </w:r>
            <w:r>
              <w:rPr>
                <w:rFonts w:hint="eastAsia" w:ascii="宋体" w:hAnsi="宋体" w:cs="宋体"/>
                <w:snapToGrid w:val="0"/>
                <w:sz w:val="18"/>
                <w:szCs w:val="18"/>
              </w:rPr>
              <w:t>，</w:t>
            </w:r>
            <w:r>
              <w:rPr>
                <w:rFonts w:hint="eastAsia" w:ascii="宋体" w:cs="宋体"/>
                <w:snapToGrid w:val="0"/>
                <w:sz w:val="18"/>
                <w:szCs w:val="18"/>
              </w:rPr>
              <w:t>□</w:t>
            </w:r>
            <w:r>
              <w:rPr>
                <w:rFonts w:hint="eastAsia" w:ascii="宋体" w:hAnsi="宋体" w:cs="宋体"/>
                <w:snapToGrid w:val="0"/>
                <w:sz w:val="18"/>
                <w:szCs w:val="18"/>
              </w:rPr>
              <w:t>余</w:t>
            </w:r>
            <w:r>
              <w:rPr>
                <w:rFonts w:ascii="宋体" w:hAnsi="宋体" w:cs="宋体"/>
                <w:snapToGrid w:val="0"/>
                <w:sz w:val="18"/>
                <w:szCs w:val="18"/>
              </w:rPr>
              <w:t>%</w:t>
            </w:r>
            <w:r>
              <w:rPr>
                <w:rFonts w:hint="eastAsia" w:ascii="宋体" w:hAnsi="宋体" w:cs="宋体"/>
                <w:snapToGrid w:val="0"/>
                <w:sz w:val="18"/>
                <w:szCs w:val="18"/>
              </w:rPr>
              <w:t>作为质量保证金，自交货之日起</w:t>
            </w:r>
            <w:r>
              <w:rPr>
                <w:rFonts w:hint="eastAsia" w:ascii="宋体" w:cs="宋体"/>
                <w:snapToGrid w:val="0"/>
                <w:sz w:val="18"/>
                <w:szCs w:val="18"/>
              </w:rPr>
              <w:t>□</w:t>
            </w:r>
            <w:r>
              <w:rPr>
                <w:rFonts w:hint="eastAsia" w:ascii="宋体" w:hAnsi="宋体" w:cs="宋体"/>
                <w:snapToGrid w:val="0"/>
                <w:sz w:val="18"/>
                <w:szCs w:val="18"/>
              </w:rPr>
              <w:t>三个月</w:t>
            </w:r>
            <w:r>
              <w:rPr>
                <w:rFonts w:hint="eastAsia" w:ascii="宋体" w:cs="宋体"/>
                <w:snapToGrid w:val="0"/>
                <w:sz w:val="18"/>
                <w:szCs w:val="18"/>
              </w:rPr>
              <w:t>□</w:t>
            </w:r>
            <w:r>
              <w:rPr>
                <w:rFonts w:hint="eastAsia" w:ascii="宋体" w:hAnsi="宋体" w:cs="宋体"/>
                <w:snapToGrid w:val="0"/>
                <w:sz w:val="18"/>
                <w:szCs w:val="18"/>
              </w:rPr>
              <w:t>六个月</w:t>
            </w:r>
            <w:r>
              <w:rPr>
                <w:rFonts w:hint="eastAsia" w:ascii="宋体" w:cs="宋体"/>
                <w:snapToGrid w:val="0"/>
                <w:sz w:val="18"/>
                <w:szCs w:val="18"/>
              </w:rPr>
              <w:t>□</w:t>
            </w:r>
            <w:r>
              <w:rPr>
                <w:rFonts w:hint="eastAsia" w:ascii="宋体" w:hAnsi="宋体" w:cs="宋体"/>
                <w:snapToGrid w:val="0"/>
                <w:sz w:val="18"/>
                <w:szCs w:val="18"/>
              </w:rPr>
              <w:t>十二个月</w:t>
            </w:r>
            <w:r>
              <w:rPr>
                <w:rFonts w:hint="eastAsia" w:ascii="宋体" w:cs="宋体"/>
                <w:snapToGrid w:val="0"/>
                <w:sz w:val="18"/>
                <w:szCs w:val="18"/>
              </w:rPr>
              <w:t>□</w:t>
            </w:r>
            <w:r>
              <w:rPr>
                <w:rFonts w:hint="eastAsia" w:ascii="宋体" w:hAnsi="宋体" w:cs="宋体"/>
                <w:snapToGrid w:val="0"/>
                <w:sz w:val="18"/>
                <w:szCs w:val="18"/>
              </w:rPr>
              <w:t>月正常使用且无质量问题时，一次性结清。</w:t>
            </w:r>
            <w:r>
              <w:rPr>
                <w:rFonts w:hint="eastAsia" w:ascii="宋体" w:cs="宋体"/>
                <w:snapToGrid w:val="0"/>
                <w:sz w:val="18"/>
                <w:szCs w:val="18"/>
              </w:rPr>
              <w:t>□</w:t>
            </w:r>
            <w:r>
              <w:rPr>
                <w:rFonts w:hint="eastAsia" w:ascii="宋体" w:hAnsi="宋体" w:cs="宋体"/>
                <w:snapToGrid w:val="0"/>
                <w:sz w:val="18"/>
                <w:szCs w:val="18"/>
              </w:rPr>
              <w:t>最终结算按审价报告执行。</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十一、知识产权</w:t>
            </w:r>
            <w:r>
              <w:rPr>
                <w:rFonts w:hint="eastAsia" w:ascii="Times New Roman" w:hAnsi="Times New Roman" w:cs="宋体"/>
                <w:snapToGrid w:val="0"/>
                <w:sz w:val="18"/>
                <w:szCs w:val="18"/>
              </w:rPr>
              <w:t>乙方应保证甲方使用其提供的物资时不受第三方关于侵犯专利权、商标权和工业设计权的指控，甲方不承担任何连带责任和赔偿责任。</w:t>
            </w:r>
          </w:p>
          <w:p>
            <w:pPr>
              <w:adjustRightInd w:val="0"/>
              <w:snapToGrid w:val="0"/>
              <w:spacing w:line="260" w:lineRule="exact"/>
              <w:ind w:left="31680" w:hanging="1453" w:hangingChars="881"/>
              <w:rPr>
                <w:rFonts w:ascii="宋体" w:cs="Times New Roman"/>
                <w:b/>
                <w:bCs/>
                <w:snapToGrid w:val="0"/>
                <w:sz w:val="18"/>
                <w:szCs w:val="18"/>
              </w:rPr>
            </w:pPr>
            <w:r>
              <w:rPr>
                <w:rFonts w:hint="eastAsia" w:ascii="黑体" w:hAnsi="黑体" w:eastAsia="黑体" w:cs="黑体"/>
                <w:snapToGrid w:val="0"/>
                <w:sz w:val="18"/>
                <w:szCs w:val="18"/>
              </w:rPr>
              <w:t>十二、保密责任</w:t>
            </w:r>
            <w:r>
              <w:rPr>
                <w:rFonts w:hint="eastAsia" w:ascii="宋体" w:cs="宋体"/>
                <w:snapToGrid w:val="0"/>
                <w:sz w:val="18"/>
                <w:szCs w:val="18"/>
              </w:rPr>
              <w:t>□</w:t>
            </w:r>
            <w:r>
              <w:rPr>
                <w:rFonts w:hint="eastAsia" w:ascii="宋体" w:hAnsi="宋体" w:cs="宋体"/>
                <w:snapToGrid w:val="0"/>
                <w:sz w:val="18"/>
                <w:szCs w:val="18"/>
              </w:rPr>
              <w:t>甲方对乙方的商业秘密应当保密</w:t>
            </w:r>
            <w:r>
              <w:rPr>
                <w:rFonts w:hint="eastAsia" w:ascii="宋体" w:cs="宋体"/>
                <w:snapToGrid w:val="0"/>
                <w:sz w:val="18"/>
                <w:szCs w:val="18"/>
              </w:rPr>
              <w:t>□</w:t>
            </w:r>
            <w:r>
              <w:rPr>
                <w:rFonts w:hint="eastAsia" w:ascii="宋体" w:hAnsi="宋体" w:cs="宋体"/>
                <w:snapToGrid w:val="0"/>
                <w:sz w:val="18"/>
                <w:szCs w:val="18"/>
              </w:rPr>
              <w:t>乙方对本合同的签订、履行及解除等事项保密，</w:t>
            </w:r>
            <w:r>
              <w:rPr>
                <w:rFonts w:hint="eastAsia" w:ascii="宋体" w:cs="宋体"/>
                <w:snapToGrid w:val="0"/>
                <w:sz w:val="18"/>
                <w:szCs w:val="18"/>
              </w:rPr>
              <w:t>□</w:t>
            </w:r>
            <w:r>
              <w:rPr>
                <w:rFonts w:hint="eastAsia" w:ascii="宋体" w:hAnsi="宋体" w:cs="宋体"/>
                <w:snapToGrid w:val="0"/>
                <w:sz w:val="18"/>
                <w:szCs w:val="18"/>
              </w:rPr>
              <w:t>涉及物资的全部技术资料等未经甲方同意乙方不得向社会公开</w:t>
            </w:r>
            <w:r>
              <w:rPr>
                <w:rFonts w:hint="eastAsia" w:ascii="宋体" w:cs="宋体"/>
                <w:snapToGrid w:val="0"/>
                <w:sz w:val="18"/>
                <w:szCs w:val="18"/>
              </w:rPr>
              <w:t>□</w:t>
            </w:r>
            <w:r>
              <w:rPr>
                <w:rFonts w:hint="eastAsia" w:ascii="宋体" w:hAnsi="宋体" w:cs="宋体"/>
                <w:snapToGrid w:val="0"/>
                <w:sz w:val="18"/>
                <w:szCs w:val="18"/>
              </w:rPr>
              <w:t>乙方应对甲方委托送货的发运单、接收单位目录和售后服务单位目录等资料，按密级管理，不得泄密。</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十三、合同变更与解除</w:t>
            </w:r>
            <w:r>
              <w:rPr>
                <w:rFonts w:hint="eastAsia" w:ascii="宋体" w:cs="宋体"/>
                <w:snapToGrid w:val="0"/>
                <w:sz w:val="18"/>
                <w:szCs w:val="18"/>
              </w:rPr>
              <w:t>□</w:t>
            </w:r>
            <w:r>
              <w:rPr>
                <w:rFonts w:hint="eastAsia" w:ascii="宋体" w:hAnsi="宋体" w:cs="宋体"/>
                <w:snapToGrid w:val="0"/>
                <w:sz w:val="18"/>
                <w:szCs w:val="18"/>
              </w:rPr>
              <w:t>甲乙双方任何一方要求变更、解除或终止合同时，应及时通知对方，并采用书面形式由双方达成协议□甲方因任务取消等情况，可以变更或解除合同，给乙方造成损失的，甲方应当赔偿□乙方不能履行合同时，甲方有权解除合同，给甲方造成损失的，乙方应当赔偿□未经甲方允许，乙方不得部分或全部转让其应履行的合同义务□产品出厂验收不合格，甲方有权拒收货物和支付货款，由此造成的一切损失由乙方承担</w:t>
            </w:r>
            <w:r>
              <w:rPr>
                <w:rFonts w:hint="eastAsia" w:ascii="宋体" w:cs="宋体"/>
                <w:snapToGrid w:val="0"/>
                <w:sz w:val="18"/>
                <w:szCs w:val="18"/>
              </w:rPr>
              <w:t>□</w:t>
            </w:r>
            <w:r>
              <w:rPr>
                <w:rFonts w:hint="eastAsia" w:ascii="宋体" w:hAnsi="宋体" w:cs="宋体"/>
                <w:snapToGrid w:val="0"/>
                <w:sz w:val="18"/>
                <w:szCs w:val="18"/>
              </w:rPr>
              <w:t>其他。</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十四、违约责任</w:t>
            </w:r>
            <w:r>
              <w:rPr>
                <w:rFonts w:hint="eastAsia" w:ascii="宋体" w:hAnsi="宋体" w:cs="宋体"/>
                <w:snapToGrid w:val="0"/>
                <w:sz w:val="18"/>
                <w:szCs w:val="18"/>
              </w:rPr>
              <w:t>甲乙任何一方未经对方允许而违约时，违约方应向对方支付违约金，按执行，违约金最高限额为合同总金额的</w:t>
            </w:r>
            <w:r>
              <w:rPr>
                <w:rFonts w:ascii="宋体" w:hAnsi="宋体" w:cs="宋体"/>
                <w:snapToGrid w:val="0"/>
                <w:sz w:val="18"/>
                <w:szCs w:val="18"/>
              </w:rPr>
              <w:t>%</w:t>
            </w:r>
            <w:r>
              <w:rPr>
                <w:rFonts w:hint="eastAsia" w:ascii="宋体" w:hAnsi="宋体" w:cs="宋体"/>
                <w:snapToGrid w:val="0"/>
                <w:sz w:val="18"/>
                <w:szCs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cs="宋体"/>
                <w:snapToGrid w:val="0"/>
                <w:sz w:val="18"/>
                <w:szCs w:val="18"/>
              </w:rPr>
              <w:t>36</w:t>
            </w:r>
            <w:r>
              <w:rPr>
                <w:rFonts w:hint="eastAsia" w:ascii="宋体" w:hAnsi="宋体" w:cs="宋体"/>
                <w:snapToGrid w:val="0"/>
                <w:sz w:val="18"/>
                <w:szCs w:val="18"/>
              </w:rPr>
              <w:t>小时内将情况通知另一方，在灾害发生后</w:t>
            </w:r>
            <w:r>
              <w:rPr>
                <w:rFonts w:ascii="宋体" w:hAnsi="宋体" w:cs="宋体"/>
                <w:snapToGrid w:val="0"/>
                <w:sz w:val="18"/>
                <w:szCs w:val="18"/>
              </w:rPr>
              <w:t>14</w:t>
            </w:r>
            <w:r>
              <w:rPr>
                <w:rFonts w:hint="eastAsia" w:ascii="宋体" w:hAnsi="宋体" w:cs="宋体"/>
                <w:snapToGrid w:val="0"/>
                <w:sz w:val="18"/>
                <w:szCs w:val="18"/>
              </w:rPr>
              <w:t>天内向另一方出具权威部门的证明文件。如果不可抗力影响连续</w:t>
            </w:r>
            <w:r>
              <w:rPr>
                <w:rFonts w:ascii="宋体" w:hAnsi="宋体" w:cs="宋体"/>
                <w:snapToGrid w:val="0"/>
                <w:sz w:val="18"/>
                <w:szCs w:val="18"/>
              </w:rPr>
              <w:t>120</w:t>
            </w:r>
            <w:r>
              <w:rPr>
                <w:rFonts w:hint="eastAsia" w:ascii="宋体" w:hAnsi="宋体" w:cs="宋体"/>
                <w:snapToGrid w:val="0"/>
                <w:sz w:val="18"/>
                <w:szCs w:val="18"/>
              </w:rPr>
              <w:t>天以上时，双方可以重新商定合同履行问题。</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十五、合同争议解决方式</w:t>
            </w:r>
            <w:r>
              <w:rPr>
                <w:rFonts w:hint="eastAsia" w:ascii="宋体" w:cs="宋体"/>
                <w:snapToGrid w:val="0"/>
                <w:sz w:val="18"/>
                <w:szCs w:val="18"/>
              </w:rPr>
              <w:t>□</w:t>
            </w:r>
            <w:r>
              <w:rPr>
                <w:rFonts w:hint="eastAsia" w:ascii="宋体" w:hAnsi="宋体" w:cs="宋体"/>
                <w:snapToGrid w:val="0"/>
                <w:sz w:val="18"/>
                <w:szCs w:val="18"/>
              </w:rPr>
              <w:t>甲乙双方协商解决</w:t>
            </w:r>
            <w:r>
              <w:rPr>
                <w:rFonts w:hint="eastAsia" w:ascii="宋体" w:cs="宋体"/>
                <w:snapToGrid w:val="0"/>
                <w:sz w:val="18"/>
                <w:szCs w:val="18"/>
              </w:rPr>
              <w:t>□</w:t>
            </w:r>
            <w:r>
              <w:rPr>
                <w:rFonts w:hint="eastAsia" w:ascii="宋体" w:hAnsi="宋体" w:cs="宋体"/>
                <w:snapToGrid w:val="0"/>
                <w:sz w:val="18"/>
                <w:szCs w:val="18"/>
              </w:rPr>
              <w:t>提交甲方或乙方主管部门调解</w:t>
            </w:r>
            <w:r>
              <w:rPr>
                <w:rFonts w:hint="eastAsia" w:ascii="宋体" w:cs="宋体"/>
                <w:snapToGrid w:val="0"/>
                <w:sz w:val="18"/>
                <w:szCs w:val="18"/>
              </w:rPr>
              <w:t>□</w:t>
            </w:r>
            <w:r>
              <w:rPr>
                <w:rFonts w:hint="eastAsia" w:ascii="宋体" w:hAnsi="宋体" w:cs="宋体"/>
                <w:snapToGrid w:val="0"/>
                <w:sz w:val="18"/>
                <w:szCs w:val="18"/>
              </w:rPr>
              <w:t>提交仲裁委员会仲裁</w:t>
            </w:r>
            <w:r>
              <w:rPr>
                <w:rFonts w:hint="eastAsia" w:ascii="宋体" w:cs="宋体"/>
                <w:snapToGrid w:val="0"/>
                <w:sz w:val="18"/>
                <w:szCs w:val="18"/>
              </w:rPr>
              <w:t>□</w:t>
            </w:r>
            <w:r>
              <w:rPr>
                <w:rFonts w:hint="eastAsia" w:ascii="宋体" w:hAnsi="宋体" w:cs="宋体"/>
                <w:snapToGrid w:val="0"/>
                <w:sz w:val="18"/>
                <w:szCs w:val="18"/>
              </w:rPr>
              <w:t>依法向人民法院起诉。</w:t>
            </w:r>
          </w:p>
          <w:p>
            <w:pPr>
              <w:adjustRightInd w:val="0"/>
              <w:snapToGrid w:val="0"/>
              <w:spacing w:line="260" w:lineRule="exact"/>
              <w:ind w:left="31680" w:hanging="1203" w:hangingChars="729"/>
              <w:rPr>
                <w:rFonts w:ascii="宋体" w:cs="Times New Roman"/>
                <w:snapToGrid w:val="0"/>
                <w:sz w:val="18"/>
                <w:szCs w:val="18"/>
              </w:rPr>
            </w:pPr>
            <w:r>
              <w:rPr>
                <w:rFonts w:hint="eastAsia" w:ascii="黑体" w:hAnsi="黑体" w:eastAsia="黑体" w:cs="黑体"/>
                <w:snapToGrid w:val="0"/>
                <w:sz w:val="18"/>
                <w:szCs w:val="18"/>
              </w:rPr>
              <w:t>十六、合同生效</w:t>
            </w:r>
            <w:r>
              <w:rPr>
                <w:rFonts w:hint="eastAsia" w:ascii="宋体" w:cs="宋体"/>
                <w:snapToGrid w:val="0"/>
                <w:sz w:val="18"/>
                <w:szCs w:val="18"/>
              </w:rPr>
              <w:t>□</w:t>
            </w:r>
            <w:r>
              <w:rPr>
                <w:rFonts w:hint="eastAsia" w:ascii="宋体" w:hAnsi="宋体" w:cs="宋体"/>
                <w:snapToGrid w:val="0"/>
                <w:sz w:val="18"/>
                <w:szCs w:val="18"/>
              </w:rPr>
              <w:t>草本合同由甲乙双方法定代表人或委托代理人签字并经单位盖章，由甲方报上级有关部门审批通过后，签订正式合同。</w:t>
            </w:r>
          </w:p>
          <w:p>
            <w:pPr>
              <w:adjustRightInd w:val="0"/>
              <w:snapToGrid w:val="0"/>
              <w:spacing w:line="260" w:lineRule="exact"/>
              <w:ind w:firstLine="248" w:firstLineChars="150"/>
              <w:rPr>
                <w:rFonts w:ascii="宋体" w:cs="Times New Roman"/>
                <w:snapToGrid w:val="0"/>
                <w:sz w:val="18"/>
                <w:szCs w:val="18"/>
              </w:rPr>
            </w:pPr>
            <w:r>
              <w:rPr>
                <w:rFonts w:hint="eastAsia" w:ascii="宋体" w:cs="宋体"/>
                <w:snapToGrid w:val="0"/>
                <w:sz w:val="18"/>
                <w:szCs w:val="18"/>
              </w:rPr>
              <w:t>□</w:t>
            </w:r>
            <w:r>
              <w:rPr>
                <w:rFonts w:hint="eastAsia" w:ascii="宋体" w:hAnsi="宋体" w:cs="宋体"/>
                <w:snapToGrid w:val="0"/>
                <w:sz w:val="18"/>
                <w:szCs w:val="18"/>
              </w:rPr>
              <w:t>正式合同由甲乙双方法定代表人或委托代理人签字并经单位盖章后生效。</w:t>
            </w:r>
          </w:p>
          <w:p>
            <w:pPr>
              <w:adjustRightInd w:val="0"/>
              <w:snapToGrid w:val="0"/>
              <w:spacing w:line="260" w:lineRule="exact"/>
              <w:ind w:firstLine="248" w:firstLineChars="150"/>
              <w:rPr>
                <w:rFonts w:ascii="宋体" w:cs="Times New Roman"/>
                <w:snapToGrid w:val="0"/>
                <w:sz w:val="18"/>
                <w:szCs w:val="18"/>
              </w:rPr>
            </w:pPr>
            <w:r>
              <w:rPr>
                <w:rFonts w:hint="eastAsia" w:ascii="宋体" w:hAnsi="宋体" w:cs="宋体"/>
                <w:snapToGrid w:val="0"/>
                <w:sz w:val="18"/>
                <w:szCs w:val="18"/>
              </w:rPr>
              <w:t>正式合同一式份，正本两份，甲乙双方各执一份，副本份，正副本合同具有同等法律效力。</w:t>
            </w:r>
            <w:r>
              <w:rPr>
                <w:rFonts w:hint="eastAsia" w:ascii="宋体" w:cs="宋体"/>
                <w:snapToGrid w:val="0"/>
                <w:sz w:val="18"/>
                <w:szCs w:val="18"/>
              </w:rPr>
              <w:t>□</w:t>
            </w:r>
            <w:r>
              <w:rPr>
                <w:rFonts w:hint="eastAsia" w:ascii="宋体" w:hAnsi="宋体" w:cs="宋体"/>
                <w:snapToGrid w:val="0"/>
                <w:sz w:val="18"/>
                <w:szCs w:val="18"/>
              </w:rPr>
              <w:t>合同有效期限。</w:t>
            </w:r>
          </w:p>
          <w:p>
            <w:pPr>
              <w:adjustRightInd w:val="0"/>
              <w:snapToGrid w:val="0"/>
              <w:spacing w:line="260" w:lineRule="exact"/>
              <w:rPr>
                <w:rFonts w:ascii="宋体" w:cs="Times New Roman"/>
                <w:snapToGrid w:val="0"/>
                <w:sz w:val="18"/>
                <w:szCs w:val="18"/>
              </w:rPr>
            </w:pPr>
            <w:r>
              <w:rPr>
                <w:rFonts w:hint="eastAsia" w:ascii="黑体" w:hAnsi="黑体" w:eastAsia="黑体" w:cs="黑体"/>
                <w:snapToGrid w:val="0"/>
                <w:sz w:val="18"/>
                <w:szCs w:val="18"/>
              </w:rPr>
              <w:t>十七、合同附件</w:t>
            </w:r>
            <w:r>
              <w:rPr>
                <w:rFonts w:ascii="宋体" w:hAnsi="宋体" w:cs="宋体"/>
                <w:snapToGrid w:val="0"/>
                <w:sz w:val="18"/>
                <w:szCs w:val="18"/>
              </w:rPr>
              <w:t xml:space="preserve"> 1.</w:t>
            </w:r>
            <w:r>
              <w:rPr>
                <w:rFonts w:hint="eastAsia" w:ascii="宋体" w:hAnsi="宋体" w:cs="宋体"/>
                <w:snapToGrid w:val="0"/>
                <w:sz w:val="18"/>
                <w:szCs w:val="18"/>
              </w:rPr>
              <w:t>交货清单□</w:t>
            </w:r>
            <w:r>
              <w:rPr>
                <w:rFonts w:ascii="宋体" w:hAnsi="宋体" w:cs="宋体"/>
                <w:snapToGrid w:val="0"/>
                <w:sz w:val="18"/>
                <w:szCs w:val="18"/>
              </w:rPr>
              <w:t>2.</w:t>
            </w:r>
            <w:r>
              <w:rPr>
                <w:rFonts w:hint="eastAsia" w:ascii="宋体" w:hAnsi="宋体" w:cs="宋体"/>
                <w:snapToGrid w:val="0"/>
                <w:sz w:val="18"/>
                <w:szCs w:val="18"/>
              </w:rPr>
              <w:t>主要技术指标参数□</w:t>
            </w:r>
            <w:r>
              <w:rPr>
                <w:rFonts w:ascii="宋体" w:hAnsi="宋体" w:cs="宋体"/>
                <w:snapToGrid w:val="0"/>
                <w:sz w:val="18"/>
                <w:szCs w:val="18"/>
              </w:rPr>
              <w:t>3.</w:t>
            </w:r>
            <w:r>
              <w:rPr>
                <w:rFonts w:hint="eastAsia" w:ascii="宋体" w:hAnsi="宋体" w:cs="宋体"/>
                <w:snapToGrid w:val="0"/>
                <w:sz w:val="18"/>
                <w:szCs w:val="18"/>
              </w:rPr>
              <w:t>售后服务承诺□</w:t>
            </w:r>
            <w:r>
              <w:rPr>
                <w:rFonts w:ascii="宋体" w:hAnsi="宋体" w:cs="宋体"/>
                <w:snapToGrid w:val="0"/>
                <w:sz w:val="18"/>
                <w:szCs w:val="18"/>
              </w:rPr>
              <w:t>4.</w:t>
            </w:r>
            <w:r>
              <w:rPr>
                <w:rFonts w:hint="eastAsia" w:ascii="宋体" w:hAnsi="宋体" w:cs="宋体"/>
                <w:snapToGrid w:val="0"/>
                <w:sz w:val="18"/>
                <w:szCs w:val="18"/>
              </w:rPr>
              <w:t>易损易耗件清单。</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十八、其他</w:t>
            </w:r>
            <w:r>
              <w:rPr>
                <w:rFonts w:hint="eastAsia" w:ascii="Times New Roman" w:hAnsi="Times New Roman" w:cs="宋体"/>
                <w:snapToGrid w:val="0"/>
                <w:sz w:val="18"/>
                <w:szCs w:val="18"/>
              </w:rPr>
              <w:t>。</w:t>
            </w:r>
          </w:p>
          <w:p>
            <w:pPr>
              <w:adjustRightInd w:val="0"/>
              <w:snapToGrid w:val="0"/>
              <w:spacing w:line="260" w:lineRule="exact"/>
              <w:rPr>
                <w:rFonts w:ascii="Times New Roman" w:hAnsi="Times New Roman" w:cs="Times New Roman"/>
                <w:snapToGrid w:val="0"/>
                <w:sz w:val="18"/>
                <w:szCs w:val="18"/>
              </w:rPr>
            </w:pPr>
            <w:r>
              <w:rPr>
                <w:rFonts w:hint="eastAsia" w:ascii="黑体" w:hAnsi="黑体" w:eastAsia="黑体" w:cs="黑体"/>
                <w:snapToGrid w:val="0"/>
                <w:sz w:val="18"/>
                <w:szCs w:val="18"/>
              </w:rPr>
              <w:t>十九、</w:t>
            </w:r>
            <w:r>
              <w:rPr>
                <w:rFonts w:hint="eastAsia" w:ascii="Times New Roman" w:hAnsi="Times New Roman" w:cs="宋体"/>
                <w:snapToGrid w:val="0"/>
                <w:sz w:val="18"/>
                <w:szCs w:val="18"/>
              </w:rPr>
              <w:t>未尽事宜由甲乙双方协商确定。</w:t>
            </w:r>
          </w:p>
        </w:tc>
      </w:tr>
    </w:tbl>
    <w:p>
      <w:pPr>
        <w:rPr>
          <w:rFonts w:ascii="宋体" w:cs="Times New Roman"/>
        </w:rPr>
      </w:pPr>
      <w:r>
        <w:rPr>
          <w:rFonts w:hint="eastAsia" w:ascii="宋体" w:hAnsi="宋体" w:cs="宋体"/>
        </w:rPr>
        <w:t>说明：</w:t>
      </w:r>
      <w:r>
        <w:rPr>
          <w:rFonts w:ascii="宋体" w:hAnsi="宋体" w:cs="宋体"/>
        </w:rPr>
        <w:t>1.</w:t>
      </w:r>
      <w:r>
        <w:rPr>
          <w:rFonts w:hint="eastAsia" w:ascii="宋体" w:hAnsi="宋体" w:cs="宋体"/>
          <w:snapToGrid w:val="0"/>
          <w:kern w:val="0"/>
          <w:lang w:val="zh-CN"/>
        </w:rPr>
        <w:t>※本合同依托军队采购网打印。</w:t>
      </w:r>
      <w:r>
        <w:rPr>
          <w:rFonts w:hint="eastAsia" w:ascii="宋体" w:hAnsi="宋体" w:cs="宋体"/>
        </w:rPr>
        <w:t>在适用的条款</w:t>
      </w:r>
      <w:r>
        <w:rPr>
          <w:rFonts w:hint="eastAsia" w:ascii="宋体" w:cs="宋体"/>
        </w:rPr>
        <w:t>“□”</w:t>
      </w:r>
      <w:r>
        <w:rPr>
          <w:rFonts w:hint="eastAsia" w:ascii="宋体" w:hAnsi="宋体" w:cs="宋体"/>
        </w:rPr>
        <w:t>中打</w:t>
      </w:r>
      <w:r>
        <w:rPr>
          <w:rFonts w:hint="eastAsia" w:ascii="宋体" w:cs="宋体"/>
        </w:rPr>
        <w:t>“√”</w:t>
      </w:r>
      <w:r>
        <w:rPr>
          <w:rFonts w:hint="eastAsia" w:ascii="宋体" w:hAnsi="宋体" w:cs="宋体"/>
        </w:rPr>
        <w:t>，未包含内容在</w:t>
      </w:r>
      <w:r>
        <w:rPr>
          <w:rFonts w:hint="eastAsia" w:ascii="宋体" w:cs="宋体"/>
        </w:rPr>
        <w:t>“□</w:t>
      </w:r>
      <w:r>
        <w:rPr>
          <w:rFonts w:hint="eastAsia" w:ascii="宋体" w:hAnsi="宋体" w:cs="宋体"/>
        </w:rPr>
        <w:t>其它</w:t>
      </w:r>
      <w:r>
        <w:rPr>
          <w:rFonts w:hint="eastAsia" w:ascii="宋体" w:cs="宋体"/>
        </w:rPr>
        <w:t>”</w:t>
      </w:r>
      <w:r>
        <w:rPr>
          <w:rFonts w:hint="eastAsia" w:ascii="宋体" w:hAnsi="宋体" w:cs="宋体"/>
        </w:rPr>
        <w:t>栏目中填写</w:t>
      </w:r>
      <w:r>
        <w:rPr>
          <w:rFonts w:ascii="宋体" w:hAnsi="宋体" w:cs="宋体"/>
        </w:rPr>
        <w:t xml:space="preserve"> 2.</w:t>
      </w:r>
      <w:r>
        <w:rPr>
          <w:rFonts w:hint="eastAsia" w:ascii="宋体" w:hAnsi="宋体" w:cs="宋体"/>
        </w:rPr>
        <w:t>本合同依据《中华人民共和国合同法》制定。</w:t>
      </w:r>
    </w:p>
    <w:p>
      <w:pPr>
        <w:rPr>
          <w:rFonts w:ascii="黑体" w:hAnsi="Times New Roman" w:eastAsia="黑体" w:cs="Times New Roman"/>
          <w:sz w:val="28"/>
          <w:szCs w:val="28"/>
        </w:rPr>
      </w:pPr>
    </w:p>
    <w:p>
      <w:pPr>
        <w:rPr>
          <w:rFonts w:ascii="黑体" w:hAnsi="Times New Roman" w:eastAsia="黑体" w:cs="黑体"/>
          <w:sz w:val="28"/>
          <w:szCs w:val="28"/>
        </w:rPr>
      </w:pPr>
      <w:r>
        <w:rPr>
          <w:rFonts w:hint="eastAsia" w:ascii="黑体" w:hAnsi="Times New Roman" w:eastAsia="黑体" w:cs="黑体"/>
          <w:sz w:val="28"/>
          <w:szCs w:val="28"/>
        </w:rPr>
        <w:t>附件</w:t>
      </w:r>
      <w:r>
        <w:rPr>
          <w:rFonts w:ascii="黑体" w:hAnsi="Times New Roman" w:eastAsia="黑体" w:cs="黑体"/>
          <w:sz w:val="28"/>
          <w:szCs w:val="28"/>
        </w:rPr>
        <w:t>1</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交货清单</w:t>
      </w:r>
    </w:p>
    <w:tbl>
      <w:tblPr>
        <w:tblStyle w:val="17"/>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4"/>
        <w:gridCol w:w="3337"/>
        <w:gridCol w:w="2114"/>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3337"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品名</w:t>
            </w:r>
          </w:p>
        </w:tc>
        <w:tc>
          <w:tcPr>
            <w:tcW w:w="2114"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品牌</w:t>
            </w:r>
          </w:p>
        </w:tc>
        <w:tc>
          <w:tcPr>
            <w:tcW w:w="1996"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规格型号</w:t>
            </w:r>
          </w:p>
        </w:tc>
        <w:tc>
          <w:tcPr>
            <w:tcW w:w="1526"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数量</w:t>
            </w:r>
          </w:p>
        </w:tc>
        <w:tc>
          <w:tcPr>
            <w:tcW w:w="822" w:type="dxa"/>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单位</w:t>
            </w:r>
          </w:p>
        </w:tc>
        <w:tc>
          <w:tcPr>
            <w:tcW w:w="1761" w:type="dxa"/>
            <w:tcBorders>
              <w:right w:val="single" w:color="auto" w:sz="4" w:space="0"/>
            </w:tcBorders>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单价</w:t>
            </w:r>
          </w:p>
        </w:tc>
        <w:tc>
          <w:tcPr>
            <w:tcW w:w="2466" w:type="dxa"/>
            <w:tcBorders>
              <w:left w:val="single" w:color="auto" w:sz="4" w:space="0"/>
            </w:tcBorders>
            <w:vAlign w:val="center"/>
          </w:tcPr>
          <w:p>
            <w:pPr>
              <w:jc w:val="center"/>
              <w:rPr>
                <w:rFonts w:ascii="Times New Roman" w:hAnsi="Times New Roman" w:cs="Times New Roman"/>
                <w:snapToGrid w:val="0"/>
                <w:kern w:val="0"/>
              </w:rPr>
            </w:pPr>
            <w:r>
              <w:rPr>
                <w:rFonts w:hint="eastAsia" w:ascii="Times New Roman" w:hAnsi="Times New Roman" w:cs="宋体"/>
                <w:snapToGrid w:val="0"/>
                <w:kern w:val="0"/>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p>
        </w:tc>
        <w:tc>
          <w:tcPr>
            <w:tcW w:w="3337" w:type="dxa"/>
            <w:vAlign w:val="center"/>
          </w:tcPr>
          <w:p>
            <w:pPr>
              <w:jc w:val="center"/>
              <w:rPr>
                <w:rFonts w:ascii="Times New Roman" w:hAnsi="Times New Roman" w:cs="Times New Roman"/>
                <w:snapToGrid w:val="0"/>
                <w:kern w:val="0"/>
              </w:rPr>
            </w:pPr>
          </w:p>
        </w:tc>
        <w:tc>
          <w:tcPr>
            <w:tcW w:w="2114" w:type="dxa"/>
            <w:vAlign w:val="center"/>
          </w:tcPr>
          <w:p>
            <w:pPr>
              <w:jc w:val="center"/>
              <w:rPr>
                <w:rFonts w:ascii="Times New Roman" w:hAnsi="Times New Roman" w:cs="Times New Roman"/>
                <w:snapToGrid w:val="0"/>
                <w:kern w:val="0"/>
              </w:rPr>
            </w:pPr>
          </w:p>
        </w:tc>
        <w:tc>
          <w:tcPr>
            <w:tcW w:w="1996" w:type="dxa"/>
            <w:vAlign w:val="center"/>
          </w:tcPr>
          <w:p>
            <w:pPr>
              <w:jc w:val="center"/>
              <w:rPr>
                <w:rFonts w:ascii="Times New Roman" w:hAnsi="Times New Roman" w:cs="Times New Roman"/>
                <w:snapToGrid w:val="0"/>
                <w:kern w:val="0"/>
              </w:rPr>
            </w:pPr>
          </w:p>
        </w:tc>
        <w:tc>
          <w:tcPr>
            <w:tcW w:w="1526" w:type="dxa"/>
            <w:vAlign w:val="center"/>
          </w:tcPr>
          <w:p>
            <w:pPr>
              <w:jc w:val="center"/>
              <w:rPr>
                <w:rFonts w:ascii="Times New Roman" w:hAnsi="Times New Roman" w:cs="Times New Roman"/>
                <w:snapToGrid w:val="0"/>
                <w:kern w:val="0"/>
              </w:rPr>
            </w:pPr>
          </w:p>
        </w:tc>
        <w:tc>
          <w:tcPr>
            <w:tcW w:w="822" w:type="dxa"/>
            <w:vAlign w:val="center"/>
          </w:tcPr>
          <w:p>
            <w:pPr>
              <w:jc w:val="center"/>
              <w:rPr>
                <w:rFonts w:ascii="Times New Roman" w:hAnsi="Times New Roman" w:cs="Times New Roman"/>
                <w:snapToGrid w:val="0"/>
                <w:kern w:val="0"/>
              </w:rPr>
            </w:pPr>
          </w:p>
        </w:tc>
        <w:tc>
          <w:tcPr>
            <w:tcW w:w="1761" w:type="dxa"/>
            <w:tcBorders>
              <w:right w:val="single" w:color="auto" w:sz="4" w:space="0"/>
            </w:tcBorders>
            <w:vAlign w:val="center"/>
          </w:tcPr>
          <w:p>
            <w:pPr>
              <w:jc w:val="center"/>
              <w:rPr>
                <w:rFonts w:ascii="Times New Roman" w:hAnsi="Times New Roman" w:cs="Times New Roman"/>
                <w:snapToGrid w:val="0"/>
                <w:kern w:val="0"/>
              </w:rPr>
            </w:pPr>
          </w:p>
        </w:tc>
        <w:tc>
          <w:tcPr>
            <w:tcW w:w="2466" w:type="dxa"/>
            <w:tcBorders>
              <w:left w:val="single" w:color="auto" w:sz="4" w:space="0"/>
            </w:tcBorders>
            <w:vAlign w:val="center"/>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vAlign w:val="center"/>
          </w:tcPr>
          <w:p>
            <w:pPr>
              <w:jc w:val="center"/>
              <w:rPr>
                <w:rFonts w:ascii="Times New Roman" w:hAnsi="Times New Roman" w:cs="Times New Roman"/>
                <w:snapToGrid w:val="0"/>
                <w:kern w:val="0"/>
              </w:rPr>
            </w:pPr>
          </w:p>
        </w:tc>
        <w:tc>
          <w:tcPr>
            <w:tcW w:w="3337" w:type="dxa"/>
            <w:vAlign w:val="center"/>
          </w:tcPr>
          <w:p>
            <w:pPr>
              <w:jc w:val="center"/>
              <w:rPr>
                <w:rFonts w:ascii="Times New Roman" w:hAnsi="Times New Roman" w:cs="Times New Roman"/>
                <w:snapToGrid w:val="0"/>
                <w:kern w:val="0"/>
              </w:rPr>
            </w:pPr>
          </w:p>
        </w:tc>
        <w:tc>
          <w:tcPr>
            <w:tcW w:w="2114" w:type="dxa"/>
            <w:vAlign w:val="center"/>
          </w:tcPr>
          <w:p>
            <w:pPr>
              <w:jc w:val="center"/>
              <w:rPr>
                <w:rFonts w:ascii="Times New Roman" w:hAnsi="Times New Roman" w:cs="Times New Roman"/>
                <w:snapToGrid w:val="0"/>
                <w:kern w:val="0"/>
              </w:rPr>
            </w:pPr>
          </w:p>
        </w:tc>
        <w:tc>
          <w:tcPr>
            <w:tcW w:w="1996" w:type="dxa"/>
            <w:vAlign w:val="center"/>
          </w:tcPr>
          <w:p>
            <w:pPr>
              <w:jc w:val="center"/>
              <w:rPr>
                <w:rFonts w:ascii="Times New Roman" w:hAnsi="Times New Roman" w:cs="Times New Roman"/>
                <w:snapToGrid w:val="0"/>
                <w:kern w:val="0"/>
              </w:rPr>
            </w:pPr>
          </w:p>
        </w:tc>
        <w:tc>
          <w:tcPr>
            <w:tcW w:w="1526" w:type="dxa"/>
            <w:vAlign w:val="center"/>
          </w:tcPr>
          <w:p>
            <w:pPr>
              <w:jc w:val="center"/>
              <w:rPr>
                <w:rFonts w:ascii="Times New Roman" w:hAnsi="Times New Roman" w:cs="Times New Roman"/>
                <w:snapToGrid w:val="0"/>
                <w:kern w:val="0"/>
              </w:rPr>
            </w:pPr>
          </w:p>
        </w:tc>
        <w:tc>
          <w:tcPr>
            <w:tcW w:w="822" w:type="dxa"/>
            <w:vAlign w:val="center"/>
          </w:tcPr>
          <w:p>
            <w:pPr>
              <w:jc w:val="center"/>
              <w:rPr>
                <w:rFonts w:ascii="Times New Roman" w:hAnsi="Times New Roman" w:cs="Times New Roman"/>
                <w:snapToGrid w:val="0"/>
                <w:kern w:val="0"/>
              </w:rPr>
            </w:pPr>
          </w:p>
        </w:tc>
        <w:tc>
          <w:tcPr>
            <w:tcW w:w="1761" w:type="dxa"/>
            <w:tcBorders>
              <w:right w:val="single" w:color="auto" w:sz="4" w:space="0"/>
            </w:tcBorders>
            <w:vAlign w:val="center"/>
          </w:tcPr>
          <w:p>
            <w:pPr>
              <w:jc w:val="center"/>
              <w:rPr>
                <w:rFonts w:ascii="Times New Roman" w:hAnsi="Times New Roman" w:cs="Times New Roman"/>
                <w:snapToGrid w:val="0"/>
                <w:kern w:val="0"/>
              </w:rPr>
            </w:pPr>
          </w:p>
        </w:tc>
        <w:tc>
          <w:tcPr>
            <w:tcW w:w="2466" w:type="dxa"/>
            <w:tcBorders>
              <w:left w:val="single" w:color="auto" w:sz="4" w:space="0"/>
            </w:tcBorders>
            <w:vAlign w:val="center"/>
          </w:tcPr>
          <w:p>
            <w:pPr>
              <w:jc w:val="center"/>
              <w:rPr>
                <w:rFonts w:ascii="Times New Roman" w:hAnsi="Times New Roman" w:cs="Times New Roman"/>
                <w:snapToGrid w:val="0"/>
                <w:kern w:val="0"/>
              </w:rPr>
            </w:pPr>
          </w:p>
        </w:tc>
      </w:tr>
    </w:tbl>
    <w:p>
      <w:pPr>
        <w:rPr>
          <w:rFonts w:ascii="Times New Roman" w:hAnsi="Times New Roman" w:cs="Times New Roman"/>
          <w:kern w:val="0"/>
        </w:rPr>
      </w:pPr>
      <w:r>
        <w:rPr>
          <w:rFonts w:hint="eastAsia" w:ascii="Times New Roman" w:hAnsi="Times New Roman" w:cs="宋体"/>
          <w:kern w:val="0"/>
        </w:rPr>
        <w:t>注：含备品备件。</w:t>
      </w:r>
    </w:p>
    <w:p>
      <w:pPr>
        <w:rPr>
          <w:rFonts w:ascii="黑体" w:hAnsi="Times New Roman" w:eastAsia="黑体"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2</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报价产品技术指标参数</w:t>
      </w:r>
    </w:p>
    <w:tbl>
      <w:tblPr>
        <w:tblStyle w:val="17"/>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5517" w:type="dxa"/>
          </w:tcPr>
          <w:p>
            <w:pPr>
              <w:jc w:val="center"/>
              <w:rPr>
                <w:rFonts w:ascii="Times New Roman" w:hAnsi="Times New Roman" w:cs="Times New Roman"/>
                <w:snapToGrid w:val="0"/>
                <w:kern w:val="0"/>
              </w:rPr>
            </w:pPr>
            <w:r>
              <w:rPr>
                <w:rFonts w:hint="eastAsia" w:ascii="Times New Roman" w:hAnsi="Times New Roman" w:cs="宋体"/>
                <w:snapToGrid w:val="0"/>
                <w:kern w:val="0"/>
              </w:rPr>
              <w:t>配置</w:t>
            </w:r>
          </w:p>
        </w:tc>
        <w:tc>
          <w:tcPr>
            <w:tcW w:w="8454" w:type="dxa"/>
          </w:tcPr>
          <w:p>
            <w:pPr>
              <w:jc w:val="center"/>
              <w:rPr>
                <w:rFonts w:ascii="Times New Roman" w:hAnsi="Times New Roman" w:cs="Times New Roman"/>
                <w:snapToGrid w:val="0"/>
                <w:kern w:val="0"/>
              </w:rPr>
            </w:pPr>
            <w:r>
              <w:rPr>
                <w:rFonts w:hint="eastAsia" w:ascii="Times New Roman" w:hAnsi="Times New Roman" w:cs="宋体"/>
                <w:snapToGrid w:val="0"/>
                <w:kern w:val="0"/>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p>
        </w:tc>
        <w:tc>
          <w:tcPr>
            <w:tcW w:w="5517" w:type="dxa"/>
          </w:tcPr>
          <w:p>
            <w:pPr>
              <w:jc w:val="center"/>
              <w:rPr>
                <w:rFonts w:ascii="Times New Roman" w:hAnsi="Times New Roman" w:cs="Times New Roman"/>
                <w:snapToGrid w:val="0"/>
                <w:kern w:val="0"/>
              </w:rPr>
            </w:pPr>
          </w:p>
        </w:tc>
        <w:tc>
          <w:tcPr>
            <w:tcW w:w="8454" w:type="dxa"/>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Pr>
          <w:p>
            <w:pPr>
              <w:jc w:val="center"/>
              <w:rPr>
                <w:rFonts w:ascii="Times New Roman" w:hAnsi="Times New Roman" w:cs="Times New Roman"/>
                <w:snapToGrid w:val="0"/>
                <w:kern w:val="0"/>
              </w:rPr>
            </w:pPr>
          </w:p>
        </w:tc>
        <w:tc>
          <w:tcPr>
            <w:tcW w:w="5517" w:type="dxa"/>
          </w:tcPr>
          <w:p>
            <w:pPr>
              <w:jc w:val="center"/>
              <w:rPr>
                <w:rFonts w:ascii="Times New Roman" w:hAnsi="Times New Roman" w:cs="Times New Roman"/>
                <w:snapToGrid w:val="0"/>
                <w:kern w:val="0"/>
              </w:rPr>
            </w:pPr>
          </w:p>
        </w:tc>
        <w:tc>
          <w:tcPr>
            <w:tcW w:w="8454" w:type="dxa"/>
          </w:tcPr>
          <w:p>
            <w:pPr>
              <w:jc w:val="center"/>
              <w:rPr>
                <w:rFonts w:ascii="Times New Roman" w:hAnsi="Times New Roman" w:cs="Times New Roman"/>
                <w:snapToGrid w:val="0"/>
                <w:kern w:val="0"/>
              </w:rPr>
            </w:pPr>
          </w:p>
        </w:tc>
      </w:tr>
    </w:tbl>
    <w:p>
      <w:pPr>
        <w:rPr>
          <w:rFonts w:ascii="Times New Roman" w:hAnsi="Times New Roman"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3</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售后服务承诺</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黑体" w:hAnsi="Times New Roman" w:eastAsia="黑体" w:cs="黑体"/>
          <w:kern w:val="0"/>
          <w:sz w:val="28"/>
          <w:szCs w:val="28"/>
        </w:rPr>
      </w:pPr>
      <w:r>
        <w:rPr>
          <w:rFonts w:hint="eastAsia" w:ascii="黑体" w:hAnsi="Times New Roman" w:eastAsia="黑体" w:cs="黑体"/>
          <w:kern w:val="0"/>
          <w:sz w:val="28"/>
          <w:szCs w:val="28"/>
        </w:rPr>
        <w:t>附件</w:t>
      </w:r>
      <w:r>
        <w:rPr>
          <w:rFonts w:ascii="黑体" w:hAnsi="Times New Roman" w:eastAsia="黑体" w:cs="黑体"/>
          <w:kern w:val="0"/>
          <w:sz w:val="28"/>
          <w:szCs w:val="28"/>
        </w:rPr>
        <w:t>4</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方正小标宋简体"/>
          <w:snapToGrid w:val="0"/>
          <w:kern w:val="0"/>
          <w:sz w:val="32"/>
          <w:szCs w:val="32"/>
        </w:rPr>
        <w:t>易损易耗件清单</w:t>
      </w:r>
    </w:p>
    <w:tbl>
      <w:tblPr>
        <w:tblStyle w:val="17"/>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r>
              <w:rPr>
                <w:rFonts w:hint="eastAsia" w:ascii="Times New Roman" w:hAnsi="Times New Roman" w:cs="宋体"/>
                <w:snapToGrid w:val="0"/>
                <w:kern w:val="0"/>
              </w:rPr>
              <w:t>序号</w:t>
            </w:r>
          </w:p>
        </w:tc>
        <w:tc>
          <w:tcPr>
            <w:tcW w:w="2406" w:type="dxa"/>
          </w:tcPr>
          <w:p>
            <w:pPr>
              <w:jc w:val="center"/>
              <w:rPr>
                <w:rFonts w:ascii="Times New Roman" w:hAnsi="Times New Roman" w:cs="Times New Roman"/>
                <w:snapToGrid w:val="0"/>
                <w:kern w:val="0"/>
              </w:rPr>
            </w:pPr>
            <w:r>
              <w:rPr>
                <w:rFonts w:hint="eastAsia" w:ascii="Times New Roman" w:hAnsi="Times New Roman" w:cs="宋体"/>
                <w:kern w:val="0"/>
              </w:rPr>
              <w:t>易损易耗件</w:t>
            </w:r>
            <w:r>
              <w:rPr>
                <w:rFonts w:hint="eastAsia" w:ascii="Times New Roman" w:hAnsi="Times New Roman" w:cs="宋体"/>
                <w:snapToGrid w:val="0"/>
                <w:kern w:val="0"/>
              </w:rPr>
              <w:t>名称</w:t>
            </w:r>
          </w:p>
        </w:tc>
        <w:tc>
          <w:tcPr>
            <w:tcW w:w="2407" w:type="dxa"/>
            <w:vAlign w:val="center"/>
          </w:tcPr>
          <w:p>
            <w:pPr>
              <w:widowControl/>
              <w:jc w:val="center"/>
              <w:rPr>
                <w:rFonts w:ascii="Times New Roman" w:hAnsi="Times New Roman" w:cs="Times New Roman"/>
                <w:kern w:val="0"/>
              </w:rPr>
            </w:pPr>
            <w:r>
              <w:rPr>
                <w:rFonts w:hint="eastAsia" w:ascii="Times New Roman" w:hAnsi="Times New Roman" w:cs="宋体"/>
                <w:kern w:val="0"/>
              </w:rPr>
              <w:t>规格型号</w:t>
            </w:r>
          </w:p>
        </w:tc>
        <w:tc>
          <w:tcPr>
            <w:tcW w:w="2114" w:type="dxa"/>
            <w:vAlign w:val="center"/>
          </w:tcPr>
          <w:p>
            <w:pPr>
              <w:widowControl/>
              <w:jc w:val="center"/>
              <w:rPr>
                <w:rFonts w:ascii="Times New Roman" w:hAnsi="Times New Roman" w:cs="Times New Roman"/>
                <w:kern w:val="0"/>
              </w:rPr>
            </w:pPr>
            <w:r>
              <w:rPr>
                <w:rFonts w:hint="eastAsia" w:ascii="Times New Roman" w:hAnsi="Times New Roman" w:cs="宋体"/>
                <w:kern w:val="0"/>
              </w:rPr>
              <w:t>品牌</w:t>
            </w:r>
          </w:p>
        </w:tc>
        <w:tc>
          <w:tcPr>
            <w:tcW w:w="1761" w:type="dxa"/>
          </w:tcPr>
          <w:p>
            <w:pPr>
              <w:jc w:val="center"/>
              <w:rPr>
                <w:rFonts w:ascii="Times New Roman" w:hAnsi="Times New Roman" w:cs="Times New Roman"/>
                <w:snapToGrid w:val="0"/>
                <w:kern w:val="0"/>
              </w:rPr>
            </w:pPr>
            <w:r>
              <w:rPr>
                <w:rFonts w:hint="eastAsia" w:ascii="Times New Roman" w:hAnsi="Times New Roman" w:cs="宋体"/>
                <w:snapToGrid w:val="0"/>
                <w:kern w:val="0"/>
              </w:rPr>
              <w:t>数量</w:t>
            </w:r>
          </w:p>
        </w:tc>
        <w:tc>
          <w:tcPr>
            <w:tcW w:w="1996" w:type="dxa"/>
          </w:tcPr>
          <w:p>
            <w:pPr>
              <w:jc w:val="center"/>
              <w:rPr>
                <w:rFonts w:ascii="Times New Roman" w:hAnsi="Times New Roman" w:cs="Times New Roman"/>
                <w:snapToGrid w:val="0"/>
                <w:kern w:val="0"/>
              </w:rPr>
            </w:pPr>
            <w:r>
              <w:rPr>
                <w:rFonts w:hint="eastAsia" w:ascii="Times New Roman" w:hAnsi="Times New Roman" w:cs="宋体"/>
                <w:snapToGrid w:val="0"/>
                <w:kern w:val="0"/>
              </w:rPr>
              <w:t>单价</w:t>
            </w:r>
          </w:p>
        </w:tc>
        <w:tc>
          <w:tcPr>
            <w:tcW w:w="1644" w:type="dxa"/>
          </w:tcPr>
          <w:p>
            <w:pPr>
              <w:jc w:val="center"/>
              <w:rPr>
                <w:rFonts w:ascii="Times New Roman" w:hAnsi="Times New Roman" w:cs="Times New Roman"/>
                <w:snapToGrid w:val="0"/>
                <w:kern w:val="0"/>
              </w:rPr>
            </w:pPr>
            <w:r>
              <w:rPr>
                <w:rFonts w:hint="eastAsia" w:ascii="Times New Roman" w:hAnsi="Times New Roman" w:cs="宋体"/>
                <w:snapToGrid w:val="0"/>
                <w:kern w:val="0"/>
              </w:rPr>
              <w:t>原产地</w:t>
            </w:r>
          </w:p>
        </w:tc>
        <w:tc>
          <w:tcPr>
            <w:tcW w:w="1644" w:type="dxa"/>
          </w:tcPr>
          <w:p>
            <w:pPr>
              <w:jc w:val="center"/>
              <w:rPr>
                <w:rFonts w:ascii="Times New Roman" w:hAnsi="Times New Roman" w:cs="Times New Roman"/>
                <w:snapToGrid w:val="0"/>
                <w:kern w:val="0"/>
              </w:rPr>
            </w:pPr>
            <w:r>
              <w:rPr>
                <w:rFonts w:hint="eastAsia" w:ascii="Times New Roman" w:hAnsi="Times New Roman" w:cs="宋体"/>
                <w:snapToGrid w:val="0"/>
                <w:ker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p>
        </w:tc>
        <w:tc>
          <w:tcPr>
            <w:tcW w:w="2406" w:type="dxa"/>
          </w:tcPr>
          <w:p>
            <w:pPr>
              <w:jc w:val="center"/>
              <w:rPr>
                <w:rFonts w:ascii="Times New Roman" w:hAnsi="Times New Roman" w:cs="Times New Roman"/>
                <w:snapToGrid w:val="0"/>
                <w:kern w:val="0"/>
              </w:rPr>
            </w:pPr>
          </w:p>
        </w:tc>
        <w:tc>
          <w:tcPr>
            <w:tcW w:w="2407" w:type="dxa"/>
          </w:tcPr>
          <w:p>
            <w:pPr>
              <w:jc w:val="center"/>
              <w:rPr>
                <w:rFonts w:ascii="Times New Roman" w:hAnsi="Times New Roman" w:cs="Times New Roman"/>
                <w:snapToGrid w:val="0"/>
                <w:kern w:val="0"/>
              </w:rPr>
            </w:pPr>
          </w:p>
        </w:tc>
        <w:tc>
          <w:tcPr>
            <w:tcW w:w="2114" w:type="dxa"/>
          </w:tcPr>
          <w:p>
            <w:pPr>
              <w:jc w:val="center"/>
              <w:rPr>
                <w:rFonts w:ascii="Times New Roman" w:hAnsi="Times New Roman" w:cs="Times New Roman"/>
                <w:snapToGrid w:val="0"/>
                <w:kern w:val="0"/>
              </w:rPr>
            </w:pPr>
          </w:p>
        </w:tc>
        <w:tc>
          <w:tcPr>
            <w:tcW w:w="1761" w:type="dxa"/>
          </w:tcPr>
          <w:p>
            <w:pPr>
              <w:jc w:val="center"/>
              <w:rPr>
                <w:rFonts w:ascii="Times New Roman" w:hAnsi="Times New Roman" w:cs="Times New Roman"/>
                <w:snapToGrid w:val="0"/>
                <w:kern w:val="0"/>
              </w:rPr>
            </w:pPr>
          </w:p>
        </w:tc>
        <w:tc>
          <w:tcPr>
            <w:tcW w:w="1996"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Pr>
          <w:p>
            <w:pPr>
              <w:jc w:val="center"/>
              <w:rPr>
                <w:rFonts w:ascii="Times New Roman" w:hAnsi="Times New Roman" w:cs="Times New Roman"/>
                <w:snapToGrid w:val="0"/>
                <w:kern w:val="0"/>
              </w:rPr>
            </w:pPr>
          </w:p>
        </w:tc>
        <w:tc>
          <w:tcPr>
            <w:tcW w:w="2406" w:type="dxa"/>
          </w:tcPr>
          <w:p>
            <w:pPr>
              <w:jc w:val="center"/>
              <w:rPr>
                <w:rFonts w:ascii="Times New Roman" w:hAnsi="Times New Roman" w:cs="Times New Roman"/>
                <w:snapToGrid w:val="0"/>
                <w:kern w:val="0"/>
              </w:rPr>
            </w:pPr>
          </w:p>
        </w:tc>
        <w:tc>
          <w:tcPr>
            <w:tcW w:w="2407" w:type="dxa"/>
          </w:tcPr>
          <w:p>
            <w:pPr>
              <w:jc w:val="center"/>
              <w:rPr>
                <w:rFonts w:ascii="Times New Roman" w:hAnsi="Times New Roman" w:cs="Times New Roman"/>
                <w:snapToGrid w:val="0"/>
                <w:kern w:val="0"/>
              </w:rPr>
            </w:pPr>
          </w:p>
        </w:tc>
        <w:tc>
          <w:tcPr>
            <w:tcW w:w="2114" w:type="dxa"/>
          </w:tcPr>
          <w:p>
            <w:pPr>
              <w:jc w:val="center"/>
              <w:rPr>
                <w:rFonts w:ascii="Times New Roman" w:hAnsi="Times New Roman" w:cs="Times New Roman"/>
                <w:snapToGrid w:val="0"/>
                <w:kern w:val="0"/>
              </w:rPr>
            </w:pPr>
          </w:p>
        </w:tc>
        <w:tc>
          <w:tcPr>
            <w:tcW w:w="1761" w:type="dxa"/>
          </w:tcPr>
          <w:p>
            <w:pPr>
              <w:jc w:val="center"/>
              <w:rPr>
                <w:rFonts w:ascii="Times New Roman" w:hAnsi="Times New Roman" w:cs="Times New Roman"/>
                <w:snapToGrid w:val="0"/>
                <w:kern w:val="0"/>
              </w:rPr>
            </w:pPr>
          </w:p>
        </w:tc>
        <w:tc>
          <w:tcPr>
            <w:tcW w:w="1996"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c>
          <w:tcPr>
            <w:tcW w:w="1644" w:type="dxa"/>
          </w:tcPr>
          <w:p>
            <w:pPr>
              <w:jc w:val="center"/>
              <w:rPr>
                <w:rFonts w:ascii="Times New Roman" w:hAnsi="Times New Roman" w:cs="Times New Roman"/>
                <w:snapToGrid w:val="0"/>
                <w:kern w:val="0"/>
              </w:rPr>
            </w:pPr>
          </w:p>
        </w:tc>
      </w:tr>
    </w:tbl>
    <w:p>
      <w:pPr>
        <w:jc w:val="center"/>
        <w:rPr>
          <w:rFonts w:ascii="Times New Roman" w:hAnsi="Times New Roman" w:cs="Times New Roman"/>
          <w:kern w:val="0"/>
          <w:sz w:val="28"/>
          <w:szCs w:val="28"/>
        </w:rPr>
        <w:sectPr>
          <w:headerReference r:id="rId7" w:type="default"/>
          <w:footerReference r:id="rId8" w:type="default"/>
          <w:pgSz w:w="16838" w:h="11906" w:orient="landscape"/>
          <w:pgMar w:top="1021" w:right="1134" w:bottom="567" w:left="1134" w:header="567" w:footer="567" w:gutter="0"/>
          <w:cols w:space="425" w:num="1"/>
          <w:docGrid w:type="linesAndChars" w:linePitch="412" w:charSpace="-3223"/>
        </w:sectPr>
      </w:pPr>
    </w:p>
    <w:p>
      <w:pPr>
        <w:spacing w:line="560" w:lineRule="exact"/>
        <w:jc w:val="center"/>
        <w:outlineLvl w:val="0"/>
        <w:rPr>
          <w:rFonts w:ascii="方正小标宋简体" w:hAnsi="Times New Roman" w:eastAsia="方正小标宋简体" w:cs="Times New Roman"/>
          <w:kern w:val="0"/>
          <w:sz w:val="44"/>
          <w:szCs w:val="44"/>
        </w:rPr>
      </w:pPr>
      <w:bookmarkStart w:id="13" w:name="_Toc285612604"/>
      <w:bookmarkStart w:id="14" w:name="_Toc240432233"/>
      <w:bookmarkStart w:id="15" w:name="_Toc435540982"/>
      <w:bookmarkStart w:id="16" w:name="_Toc390713970"/>
      <w:r>
        <w:rPr>
          <w:rFonts w:hint="eastAsia" w:ascii="方正小标宋简体" w:hAnsi="Times New Roman" w:eastAsia="方正小标宋简体" w:cs="方正小标宋简体"/>
          <w:kern w:val="0"/>
          <w:sz w:val="44"/>
          <w:szCs w:val="44"/>
        </w:rPr>
        <w:t>第五部分附件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3"/>
      <w:bookmarkEnd w:id="14"/>
      <w:bookmarkEnd w:id="15"/>
      <w:bookmarkEnd w:id="16"/>
    </w:p>
    <w:p>
      <w:pPr>
        <w:spacing w:line="580" w:lineRule="exact"/>
        <w:rPr>
          <w:rFonts w:ascii="Times New Roman" w:hAnsi="Times New Roman" w:cs="Times New Roman"/>
          <w:kern w:val="0"/>
          <w:sz w:val="28"/>
          <w:szCs w:val="28"/>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：报价函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：报价一览表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：技术指标参数响应偏离表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4</w:t>
      </w:r>
      <w:r>
        <w:rPr>
          <w:rFonts w:hint="eastAsia" w:ascii="仿宋_GB2312" w:hAnsi="宋体" w:eastAsia="仿宋_GB2312" w:cs="仿宋_GB2312"/>
          <w:kern w:val="0"/>
          <w:sz w:val="32"/>
          <w:szCs w:val="32"/>
        </w:rPr>
        <w:t>：主要商务条款响应偏离表</w:t>
      </w:r>
    </w:p>
    <w:p>
      <w:pPr>
        <w:ind w:firstLine="622"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5</w:t>
      </w:r>
      <w:r>
        <w:rPr>
          <w:rFonts w:hint="eastAsia" w:ascii="仿宋_GB2312" w:hAnsi="宋体" w:eastAsia="仿宋_GB2312" w:cs="仿宋_GB2312"/>
          <w:kern w:val="0"/>
          <w:sz w:val="32"/>
          <w:szCs w:val="32"/>
        </w:rPr>
        <w:t>：交货清单</w:t>
      </w:r>
    </w:p>
    <w:p>
      <w:pPr>
        <w:ind w:firstLine="622"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6</w:t>
      </w:r>
      <w:r>
        <w:rPr>
          <w:rFonts w:hint="eastAsia" w:ascii="仿宋_GB2312" w:hAnsi="宋体" w:eastAsia="仿宋_GB2312" w:cs="仿宋_GB2312"/>
          <w:kern w:val="0"/>
          <w:sz w:val="32"/>
          <w:szCs w:val="32"/>
        </w:rPr>
        <w:t>：易损易耗备件清单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7</w:t>
      </w:r>
      <w:r>
        <w:rPr>
          <w:rFonts w:hint="eastAsia" w:ascii="仿宋_GB2312" w:hAnsi="宋体" w:eastAsia="仿宋_GB2312" w:cs="仿宋_GB2312"/>
          <w:kern w:val="0"/>
          <w:sz w:val="32"/>
          <w:szCs w:val="32"/>
        </w:rPr>
        <w:t>：售后服务承诺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：保密承诺书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val="en-US" w:eastAsia="zh-CN"/>
        </w:rPr>
        <w:t>9</w:t>
      </w:r>
      <w:r>
        <w:rPr>
          <w:rFonts w:hint="eastAsia" w:ascii="仿宋_GB2312" w:hAnsi="宋体" w:eastAsia="仿宋_GB2312" w:cs="仿宋_GB2312"/>
          <w:kern w:val="0"/>
          <w:sz w:val="32"/>
          <w:szCs w:val="32"/>
        </w:rPr>
        <w:t>：近</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年成交案例及同类项目案例</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：报价保证金保函</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1</w:t>
      </w:r>
      <w:r>
        <w:rPr>
          <w:rFonts w:hint="eastAsia" w:ascii="仿宋_GB2312" w:hAnsi="宋体" w:eastAsia="仿宋_GB2312" w:cs="仿宋_GB2312"/>
          <w:kern w:val="0"/>
          <w:sz w:val="32"/>
          <w:szCs w:val="32"/>
        </w:rPr>
        <w:t>：法定代表人资格证明书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：法定代表人授权书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：报价方基本情况表</w:t>
      </w: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pPr>
    </w:p>
    <w:p>
      <w:pPr>
        <w:rPr>
          <w:rFonts w:ascii="宋体" w:cs="Times New Roman"/>
          <w:color w:val="0000FF"/>
          <w:kern w:val="0"/>
          <w:sz w:val="28"/>
          <w:szCs w:val="28"/>
        </w:r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报价函</w:t>
      </w:r>
    </w:p>
    <w:p>
      <w:pPr>
        <w:spacing w:line="400" w:lineRule="exact"/>
        <w:rPr>
          <w:rFonts w:ascii="仿宋_GB2312" w:hAnsi="Times New Roman" w:eastAsia="仿宋_GB2312" w:cs="Times New Roman"/>
          <w:kern w:val="0"/>
          <w:sz w:val="32"/>
          <w:szCs w:val="32"/>
        </w:rPr>
      </w:pPr>
    </w:p>
    <w:p>
      <w:pPr>
        <w:spacing w:line="400" w:lineRule="exact"/>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（采购机构名称）：</w:t>
      </w:r>
    </w:p>
    <w:p>
      <w:pPr>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我方参加贵部组织的</w:t>
      </w:r>
      <w:r>
        <w:rPr>
          <w:rFonts w:hint="eastAsia" w:ascii="仿宋_GB2312" w:hAnsi="宋体" w:eastAsia="仿宋_GB2312" w:cs="仿宋_GB2312"/>
          <w:kern w:val="0"/>
          <w:sz w:val="32"/>
          <w:szCs w:val="32"/>
          <w:u w:val="single"/>
        </w:rPr>
        <w:t>（项目编号、项目名称）</w:t>
      </w:r>
      <w:r>
        <w:rPr>
          <w:rFonts w:hint="eastAsia" w:ascii="仿宋_GB2312" w:hAnsi="宋体" w:eastAsia="仿宋_GB2312" w:cs="仿宋_GB2312"/>
          <w:kern w:val="0"/>
          <w:sz w:val="32"/>
          <w:szCs w:val="32"/>
        </w:rPr>
        <w:t>竞争性谈判采购活动，并对</w:t>
      </w:r>
      <w:r>
        <w:rPr>
          <w:rFonts w:hint="eastAsia" w:ascii="仿宋_GB2312" w:hAnsi="宋体" w:eastAsia="仿宋_GB2312" w:cs="仿宋_GB2312"/>
          <w:kern w:val="0"/>
          <w:sz w:val="32"/>
          <w:szCs w:val="32"/>
          <w:u w:val="single"/>
        </w:rPr>
        <w:t>（包号或货物名称）</w:t>
      </w:r>
      <w:r>
        <w:rPr>
          <w:rFonts w:hint="eastAsia" w:ascii="仿宋_GB2312" w:hAnsi="宋体" w:eastAsia="仿宋_GB2312" w:cs="仿宋_GB2312"/>
          <w:kern w:val="0"/>
          <w:sz w:val="32"/>
          <w:szCs w:val="32"/>
        </w:rPr>
        <w:t>进行报价。</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一、按照谈判文件规定提交</w:t>
      </w:r>
      <w:r>
        <w:rPr>
          <w:rFonts w:hint="eastAsia" w:ascii="仿宋_GB2312" w:hAnsi="宋体" w:eastAsia="仿宋_GB2312" w:cs="仿宋_GB2312"/>
          <w:kern w:val="0"/>
          <w:sz w:val="32"/>
          <w:szCs w:val="32"/>
          <w:lang w:val="zh-CN"/>
        </w:rPr>
        <w:t>报价文件正本份和副本份</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kern w:val="0"/>
          <w:sz w:val="32"/>
          <w:szCs w:val="32"/>
          <w:lang w:val="zh-CN"/>
        </w:rPr>
        <w:t>我方已完全理解谈判文件的全部内容，自愿接受并执行谈判文件的全部条款</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三、本报价文件</w:t>
      </w:r>
      <w:r>
        <w:rPr>
          <w:rFonts w:hint="eastAsia" w:ascii="仿宋_GB2312" w:hAnsi="宋体" w:eastAsia="仿宋_GB2312" w:cs="仿宋_GB2312"/>
          <w:kern w:val="0"/>
          <w:sz w:val="32"/>
          <w:szCs w:val="32"/>
          <w:lang w:val="zh-CN"/>
        </w:rPr>
        <w:t>有效期自报价截止之日起</w:t>
      </w:r>
      <w:r>
        <w:rPr>
          <w:rFonts w:ascii="仿宋_GB2312" w:hAnsi="宋体" w:eastAsia="仿宋_GB2312" w:cs="仿宋_GB2312"/>
          <w:kern w:val="0"/>
          <w:sz w:val="32"/>
          <w:szCs w:val="32"/>
          <w:lang w:val="zh-CN"/>
        </w:rPr>
        <w:t>180</w:t>
      </w:r>
      <w:r>
        <w:rPr>
          <w:rFonts w:hint="eastAsia" w:ascii="仿宋_GB2312" w:hAnsi="宋体" w:eastAsia="仿宋_GB2312" w:cs="仿宋_GB2312"/>
          <w:kern w:val="0"/>
          <w:sz w:val="32"/>
          <w:szCs w:val="32"/>
          <w:lang w:val="zh-CN"/>
        </w:rPr>
        <w:t>日内有效</w:t>
      </w:r>
      <w:r>
        <w:rPr>
          <w:rFonts w:hint="eastAsia" w:ascii="仿宋_GB2312" w:hAnsi="宋体" w:eastAsia="仿宋_GB2312" w:cs="仿宋_GB2312"/>
          <w:kern w:val="0"/>
          <w:sz w:val="32"/>
          <w:szCs w:val="32"/>
        </w:rPr>
        <w:t>。</w:t>
      </w:r>
    </w:p>
    <w:p>
      <w:pPr>
        <w:tabs>
          <w:tab w:val="left" w:pos="888"/>
        </w:tabs>
        <w:spacing w:line="400" w:lineRule="exact"/>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kern w:val="0"/>
          <w:sz w:val="32"/>
          <w:szCs w:val="32"/>
        </w:rPr>
        <w:t>四、</w:t>
      </w:r>
      <w:r>
        <w:rPr>
          <w:rFonts w:hint="eastAsia" w:ascii="仿宋_GB2312" w:hAnsi="宋体" w:eastAsia="仿宋_GB2312" w:cs="仿宋_GB2312"/>
          <w:snapToGrid w:val="0"/>
          <w:kern w:val="0"/>
          <w:sz w:val="32"/>
          <w:szCs w:val="32"/>
          <w:lang w:val="zh-CN"/>
        </w:rPr>
        <w:t>我方在参与谈判前已仔细研究了谈判文件和所有相关资料，同意谈判文件的相关条款。</w:t>
      </w:r>
    </w:p>
    <w:p>
      <w:pPr>
        <w:tabs>
          <w:tab w:val="left" w:pos="888"/>
        </w:tabs>
        <w:spacing w:line="400" w:lineRule="exact"/>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pPr>
        <w:tabs>
          <w:tab w:val="left" w:pos="888"/>
        </w:tabs>
        <w:spacing w:line="400"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snapToGrid w:val="0"/>
          <w:kern w:val="0"/>
          <w:sz w:val="32"/>
          <w:szCs w:val="32"/>
          <w:lang w:val="zh-CN"/>
        </w:rPr>
        <w:t>六、</w:t>
      </w:r>
      <w:r>
        <w:rPr>
          <w:rFonts w:hint="eastAsia" w:ascii="仿宋_GB2312" w:hAnsi="宋体" w:eastAsia="仿宋_GB2312" w:cs="仿宋_GB2312"/>
          <w:kern w:val="0"/>
          <w:sz w:val="32"/>
          <w:szCs w:val="32"/>
        </w:rPr>
        <w:t>我方承诺自愿遵守、执行军队采购管理法规制度及政策规定。</w:t>
      </w:r>
    </w:p>
    <w:p>
      <w:pPr>
        <w:tabs>
          <w:tab w:val="left" w:pos="888"/>
        </w:tabs>
        <w:spacing w:line="400" w:lineRule="exact"/>
        <w:ind w:firstLine="622" w:firstLineChars="200"/>
        <w:rPr>
          <w:rFonts w:ascii="仿宋_GB2312" w:hAnsi="Times New Roman" w:eastAsia="仿宋_GB2312" w:cs="Times New Roman"/>
          <w:kern w:val="0"/>
          <w:sz w:val="32"/>
          <w:szCs w:val="32"/>
        </w:rPr>
      </w:pPr>
      <w:r>
        <w:rPr>
          <w:rFonts w:hint="eastAsia" w:ascii="仿宋_GB2312" w:hAnsi="宋体" w:eastAsia="仿宋_GB2312" w:cs="仿宋_GB2312"/>
          <w:kern w:val="0"/>
          <w:sz w:val="32"/>
          <w:szCs w:val="32"/>
        </w:rPr>
        <w:t>七、</w:t>
      </w:r>
      <w:r>
        <w:rPr>
          <w:rFonts w:hint="eastAsia" w:ascii="仿宋_GB2312" w:hAnsi="Times New Roman" w:eastAsia="仿宋_GB2312" w:cs="仿宋_GB2312"/>
          <w:kern w:val="0"/>
          <w:sz w:val="32"/>
          <w:szCs w:val="32"/>
        </w:rPr>
        <w:t>联系方式</w:t>
      </w:r>
    </w:p>
    <w:p>
      <w:pPr>
        <w:spacing w:line="400" w:lineRule="exact"/>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联系人：电话：传真：</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地址：邮政编码：</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开户名称：</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开户银行：</w:t>
      </w:r>
    </w:p>
    <w:p>
      <w:pPr>
        <w:spacing w:line="400" w:lineRule="exact"/>
        <w:ind w:firstLine="1250" w:firstLineChars="402"/>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银行账号：</w:t>
      </w:r>
    </w:p>
    <w:p>
      <w:pPr>
        <w:spacing w:line="400" w:lineRule="exact"/>
        <w:ind w:firstLine="1524" w:firstLineChars="490"/>
        <w:rPr>
          <w:rFonts w:ascii="仿宋_GB2312" w:hAnsi="Times New Roman" w:eastAsia="仿宋_GB2312" w:cs="Times New Roman"/>
          <w:kern w:val="0"/>
          <w:sz w:val="32"/>
          <w:szCs w:val="32"/>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ind w:firstLine="542" w:firstLineChars="200"/>
        <w:rPr>
          <w:rFonts w:ascii="宋体" w:cs="Times New Roman"/>
          <w:color w:val="0000FF"/>
          <w:kern w:val="0"/>
          <w:sz w:val="28"/>
          <w:szCs w:val="28"/>
        </w:rPr>
      </w:pPr>
    </w:p>
    <w:p>
      <w:pPr>
        <w:ind w:firstLine="542" w:firstLineChars="200"/>
        <w:rPr>
          <w:rFonts w:ascii="宋体" w:cs="Times New Roman"/>
          <w:color w:val="0000FF"/>
          <w:kern w:val="0"/>
          <w:sz w:val="28"/>
          <w:szCs w:val="28"/>
        </w:rPr>
        <w:sectPr>
          <w:headerReference r:id="rId9" w:type="default"/>
          <w:pgSz w:w="11906" w:h="16838"/>
          <w:pgMar w:top="2098" w:right="1474" w:bottom="1985" w:left="1588" w:header="851" w:footer="851" w:gutter="0"/>
          <w:cols w:space="720" w:num="1"/>
          <w:docGrid w:type="linesAndChars" w:linePitch="579" w:charSpace="-1844"/>
        </w:sectPr>
      </w:pPr>
    </w:p>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报价一览表</w:t>
      </w:r>
    </w:p>
    <w:p>
      <w:pPr>
        <w:rPr>
          <w:rFonts w:ascii="Times New Roman" w:hAnsi="Times New Roman" w:cs="Times New Roman"/>
          <w:kern w:val="0"/>
          <w:sz w:val="28"/>
          <w:szCs w:val="28"/>
        </w:rPr>
      </w:pPr>
    </w:p>
    <w:p>
      <w:pPr>
        <w:rPr>
          <w:rFonts w:ascii="Times New Roman" w:hAnsi="Times New Roman" w:cs="Times New Roman"/>
          <w:kern w:val="0"/>
          <w:sz w:val="24"/>
          <w:szCs w:val="24"/>
        </w:rPr>
      </w:pPr>
      <w:r>
        <w:rPr>
          <w:rFonts w:hint="eastAsia" w:ascii="Times New Roman" w:hAnsi="Times New Roman" w:cs="宋体"/>
          <w:kern w:val="0"/>
          <w:sz w:val="24"/>
          <w:szCs w:val="24"/>
        </w:rPr>
        <w:t>项目名称：</w:t>
      </w:r>
      <w:r>
        <w:rPr>
          <w:rFonts w:hint="eastAsia" w:ascii="Times New Roman" w:hAnsi="Times New Roman" w:cs="宋体"/>
          <w:kern w:val="0"/>
          <w:sz w:val="24"/>
          <w:szCs w:val="24"/>
          <w:lang w:eastAsia="zh-CN"/>
        </w:rPr>
        <w:t>医院门诊电子显示屏更换</w:t>
      </w:r>
      <w:r>
        <w:rPr>
          <w:rFonts w:hint="eastAsia" w:ascii="Times New Roman" w:hAnsi="Times New Roman" w:cs="宋体"/>
          <w:kern w:val="0"/>
          <w:sz w:val="24"/>
          <w:szCs w:val="24"/>
        </w:rPr>
        <w:t>项目编号：</w:t>
      </w:r>
      <w:r>
        <w:rPr>
          <w:rFonts w:hint="eastAsia" w:ascii="Times New Roman" w:hAnsi="Times New Roman" w:cs="Times New Roman"/>
          <w:kern w:val="0"/>
          <w:sz w:val="24"/>
          <w:szCs w:val="24"/>
          <w:lang w:eastAsia="zh-CN"/>
        </w:rPr>
        <w:t>GZBC20FG01002</w:t>
      </w:r>
      <w:r>
        <w:rPr>
          <w:rFonts w:ascii="Times New Roman" w:hAnsi="Times New Roman" w:cs="Times New Roman"/>
          <w:kern w:val="0"/>
          <w:sz w:val="24"/>
          <w:szCs w:val="24"/>
        </w:rPr>
        <w:t xml:space="preserve">                       </w:t>
      </w:r>
      <w:r>
        <w:rPr>
          <w:rFonts w:hint="eastAsia" w:ascii="Times New Roman" w:hAnsi="Times New Roman" w:cs="宋体"/>
          <w:kern w:val="0"/>
          <w:sz w:val="24"/>
          <w:szCs w:val="24"/>
        </w:rPr>
        <w:t>包号：金额单位：元</w:t>
      </w:r>
    </w:p>
    <w:tbl>
      <w:tblPr>
        <w:tblStyle w:val="17"/>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
        <w:gridCol w:w="2049"/>
        <w:gridCol w:w="1402"/>
        <w:gridCol w:w="2162"/>
        <w:gridCol w:w="1178"/>
        <w:gridCol w:w="1146"/>
        <w:gridCol w:w="1145"/>
        <w:gridCol w:w="1186"/>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2049"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货物名称</w:t>
            </w:r>
          </w:p>
        </w:tc>
        <w:tc>
          <w:tcPr>
            <w:tcW w:w="1402"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品牌</w:t>
            </w:r>
          </w:p>
        </w:tc>
        <w:tc>
          <w:tcPr>
            <w:tcW w:w="2162"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规格型号</w:t>
            </w:r>
          </w:p>
        </w:tc>
        <w:tc>
          <w:tcPr>
            <w:tcW w:w="1178"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计量</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单位</w:t>
            </w:r>
          </w:p>
        </w:tc>
        <w:tc>
          <w:tcPr>
            <w:tcW w:w="114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数量</w:t>
            </w:r>
          </w:p>
        </w:tc>
        <w:tc>
          <w:tcPr>
            <w:tcW w:w="1145"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单价</w:t>
            </w:r>
          </w:p>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（含税）</w:t>
            </w:r>
          </w:p>
        </w:tc>
        <w:tc>
          <w:tcPr>
            <w:tcW w:w="118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金额</w:t>
            </w:r>
          </w:p>
          <w:p>
            <w:pPr>
              <w:spacing w:line="300" w:lineRule="exact"/>
              <w:jc w:val="center"/>
              <w:rPr>
                <w:rFonts w:ascii="Times New Roman" w:hAnsi="Times New Roman" w:cs="Times New Roman"/>
                <w:spacing w:val="-4"/>
                <w:kern w:val="0"/>
                <w:sz w:val="24"/>
                <w:szCs w:val="24"/>
              </w:rPr>
            </w:pPr>
            <w:r>
              <w:rPr>
                <w:rFonts w:hint="eastAsia" w:ascii="Times New Roman" w:hAnsi="Times New Roman" w:cs="宋体"/>
                <w:kern w:val="0"/>
                <w:sz w:val="24"/>
                <w:szCs w:val="24"/>
              </w:rPr>
              <w:t>（含税）</w:t>
            </w:r>
          </w:p>
        </w:tc>
        <w:tc>
          <w:tcPr>
            <w:tcW w:w="1630"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交货时间</w:t>
            </w:r>
          </w:p>
        </w:tc>
        <w:tc>
          <w:tcPr>
            <w:tcW w:w="2040"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gridSpan w:val="2"/>
            <w:vAlign w:val="center"/>
          </w:tcPr>
          <w:p>
            <w:pPr>
              <w:spacing w:line="300" w:lineRule="exact"/>
              <w:rPr>
                <w:rFonts w:ascii="Times New Roman" w:hAnsi="Times New Roman" w:cs="Times New Roman"/>
                <w:b/>
                <w:bCs/>
                <w:kern w:val="0"/>
                <w:sz w:val="24"/>
                <w:szCs w:val="24"/>
              </w:rPr>
            </w:pPr>
          </w:p>
        </w:tc>
        <w:tc>
          <w:tcPr>
            <w:tcW w:w="2049" w:type="dxa"/>
            <w:vAlign w:val="center"/>
          </w:tcPr>
          <w:p>
            <w:pPr>
              <w:spacing w:line="300" w:lineRule="exact"/>
              <w:rPr>
                <w:rFonts w:ascii="Times New Roman" w:hAnsi="Times New Roman" w:cs="Times New Roman"/>
                <w:b/>
                <w:bCs/>
                <w:kern w:val="0"/>
                <w:sz w:val="24"/>
                <w:szCs w:val="24"/>
              </w:rPr>
            </w:pP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3"/>
            <w:vAlign w:val="center"/>
          </w:tcPr>
          <w:p>
            <w:pPr>
              <w:spacing w:line="300" w:lineRule="exact"/>
              <w:jc w:val="center"/>
              <w:rPr>
                <w:rFonts w:ascii="Times New Roman" w:hAnsi="Times New Roman" w:cs="Times New Roman"/>
                <w:b/>
                <w:bCs/>
                <w:kern w:val="0"/>
                <w:sz w:val="24"/>
                <w:szCs w:val="24"/>
              </w:rPr>
            </w:pPr>
            <w:r>
              <w:rPr>
                <w:rFonts w:hint="eastAsia" w:ascii="Times New Roman" w:hAnsi="Times New Roman" w:cs="宋体"/>
                <w:kern w:val="0"/>
                <w:sz w:val="24"/>
                <w:szCs w:val="24"/>
              </w:rPr>
              <w:t>合计</w:t>
            </w:r>
          </w:p>
        </w:tc>
        <w:tc>
          <w:tcPr>
            <w:tcW w:w="1402" w:type="dxa"/>
            <w:vAlign w:val="center"/>
          </w:tcPr>
          <w:p>
            <w:pPr>
              <w:spacing w:line="300" w:lineRule="exact"/>
              <w:rPr>
                <w:rFonts w:ascii="Times New Roman" w:hAnsi="Times New Roman" w:cs="Times New Roman"/>
                <w:b/>
                <w:bCs/>
                <w:kern w:val="0"/>
                <w:sz w:val="24"/>
                <w:szCs w:val="24"/>
              </w:rPr>
            </w:pPr>
          </w:p>
        </w:tc>
        <w:tc>
          <w:tcPr>
            <w:tcW w:w="2162" w:type="dxa"/>
            <w:vAlign w:val="center"/>
          </w:tcPr>
          <w:p>
            <w:pPr>
              <w:spacing w:line="300" w:lineRule="exact"/>
              <w:rPr>
                <w:rFonts w:ascii="Times New Roman" w:hAnsi="Times New Roman" w:cs="Times New Roman"/>
                <w:b/>
                <w:bCs/>
                <w:kern w:val="0"/>
                <w:sz w:val="24"/>
                <w:szCs w:val="24"/>
              </w:rPr>
            </w:pPr>
          </w:p>
        </w:tc>
        <w:tc>
          <w:tcPr>
            <w:tcW w:w="1178" w:type="dxa"/>
            <w:vAlign w:val="center"/>
          </w:tcPr>
          <w:p>
            <w:pPr>
              <w:spacing w:line="300" w:lineRule="exact"/>
              <w:rPr>
                <w:rFonts w:ascii="Times New Roman" w:hAnsi="Times New Roman" w:cs="Times New Roman"/>
                <w:b/>
                <w:bCs/>
                <w:kern w:val="0"/>
                <w:sz w:val="24"/>
                <w:szCs w:val="24"/>
              </w:rPr>
            </w:pPr>
          </w:p>
        </w:tc>
        <w:tc>
          <w:tcPr>
            <w:tcW w:w="1146" w:type="dxa"/>
            <w:vAlign w:val="center"/>
          </w:tcPr>
          <w:p>
            <w:pPr>
              <w:spacing w:line="300" w:lineRule="exact"/>
              <w:rPr>
                <w:rFonts w:ascii="Times New Roman" w:hAnsi="Times New Roman" w:cs="Times New Roman"/>
                <w:b/>
                <w:bCs/>
                <w:kern w:val="0"/>
                <w:sz w:val="24"/>
                <w:szCs w:val="24"/>
              </w:rPr>
            </w:pPr>
          </w:p>
        </w:tc>
        <w:tc>
          <w:tcPr>
            <w:tcW w:w="1145" w:type="dxa"/>
            <w:vAlign w:val="center"/>
          </w:tcPr>
          <w:p>
            <w:pPr>
              <w:spacing w:line="300" w:lineRule="exact"/>
              <w:rPr>
                <w:rFonts w:ascii="Times New Roman" w:hAnsi="Times New Roman" w:cs="Times New Roman"/>
                <w:b/>
                <w:bCs/>
                <w:kern w:val="0"/>
                <w:sz w:val="24"/>
                <w:szCs w:val="24"/>
              </w:rPr>
            </w:pPr>
          </w:p>
        </w:tc>
        <w:tc>
          <w:tcPr>
            <w:tcW w:w="1186" w:type="dxa"/>
            <w:vAlign w:val="center"/>
          </w:tcPr>
          <w:p>
            <w:pPr>
              <w:spacing w:line="300" w:lineRule="exact"/>
              <w:rPr>
                <w:rFonts w:ascii="Times New Roman" w:hAnsi="Times New Roman" w:cs="Times New Roman"/>
                <w:b/>
                <w:bCs/>
                <w:kern w:val="0"/>
                <w:sz w:val="24"/>
                <w:szCs w:val="24"/>
              </w:rPr>
            </w:pPr>
          </w:p>
        </w:tc>
        <w:tc>
          <w:tcPr>
            <w:tcW w:w="1630" w:type="dxa"/>
            <w:vAlign w:val="center"/>
          </w:tcPr>
          <w:p>
            <w:pPr>
              <w:spacing w:line="300" w:lineRule="exact"/>
              <w:rPr>
                <w:rFonts w:ascii="Times New Roman" w:hAnsi="Times New Roman" w:cs="Times New Roman"/>
                <w:b/>
                <w:bCs/>
                <w:kern w:val="0"/>
                <w:sz w:val="24"/>
                <w:szCs w:val="24"/>
              </w:rPr>
            </w:pPr>
          </w:p>
        </w:tc>
        <w:tc>
          <w:tcPr>
            <w:tcW w:w="2040" w:type="dxa"/>
          </w:tcPr>
          <w:p>
            <w:pPr>
              <w:spacing w:line="300" w:lineRule="exact"/>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21" w:type="dxa"/>
          </w:tcPr>
          <w:p>
            <w:pPr>
              <w:spacing w:line="300" w:lineRule="exact"/>
              <w:rPr>
                <w:rFonts w:ascii="Times New Roman" w:hAnsi="Times New Roman" w:cs="Times New Roman"/>
                <w:spacing w:val="-4"/>
                <w:kern w:val="0"/>
                <w:sz w:val="24"/>
                <w:szCs w:val="24"/>
              </w:rPr>
            </w:pPr>
          </w:p>
        </w:tc>
        <w:tc>
          <w:tcPr>
            <w:tcW w:w="2076" w:type="dxa"/>
            <w:gridSpan w:val="2"/>
          </w:tcPr>
          <w:p>
            <w:pPr>
              <w:spacing w:line="300" w:lineRule="exact"/>
              <w:rPr>
                <w:rFonts w:ascii="Times New Roman" w:hAnsi="Times New Roman" w:cs="Times New Roman"/>
                <w:spacing w:val="-4"/>
                <w:kern w:val="0"/>
                <w:sz w:val="24"/>
                <w:szCs w:val="24"/>
              </w:rPr>
            </w:pPr>
          </w:p>
        </w:tc>
        <w:tc>
          <w:tcPr>
            <w:tcW w:w="11889" w:type="dxa"/>
            <w:gridSpan w:val="8"/>
            <w:vAlign w:val="center"/>
          </w:tcPr>
          <w:p>
            <w:pPr>
              <w:spacing w:line="300" w:lineRule="exact"/>
              <w:rPr>
                <w:rFonts w:ascii="Times New Roman" w:hAnsi="Times New Roman" w:cs="Times New Roman"/>
                <w:b/>
                <w:bCs/>
                <w:kern w:val="0"/>
                <w:sz w:val="24"/>
                <w:szCs w:val="24"/>
              </w:rPr>
            </w:pPr>
            <w:r>
              <w:rPr>
                <w:rFonts w:hint="eastAsia" w:ascii="Times New Roman" w:hAnsi="Times New Roman" w:cs="宋体"/>
                <w:spacing w:val="-4"/>
                <w:kern w:val="0"/>
                <w:sz w:val="24"/>
                <w:szCs w:val="24"/>
              </w:rPr>
              <w:t>总价（人民币大写）：（小写）</w:t>
            </w:r>
            <w:r>
              <w:rPr>
                <w:rFonts w:ascii="Times New Roman" w:hAnsi="Times New Roman" w:cs="Times New Roman"/>
                <w:spacing w:val="-4"/>
                <w:kern w:val="0"/>
                <w:sz w:val="24"/>
                <w:szCs w:val="24"/>
              </w:rPr>
              <w:t>¥</w:t>
            </w:r>
            <w:r>
              <w:rPr>
                <w:rFonts w:hint="eastAsia" w:ascii="Times New Roman" w:hAnsi="Times New Roman" w:cs="宋体"/>
                <w:spacing w:val="-4"/>
                <w:kern w:val="0"/>
                <w:sz w:val="24"/>
                <w:szCs w:val="24"/>
              </w:rPr>
              <w:t>：</w:t>
            </w:r>
          </w:p>
        </w:tc>
      </w:tr>
    </w:tbl>
    <w:p>
      <w:pPr>
        <w:rPr>
          <w:rFonts w:ascii="Times New Roman" w:hAnsi="Times New Roman" w:cs="Times New Roman"/>
          <w:kern w:val="0"/>
          <w:sz w:val="24"/>
          <w:szCs w:val="24"/>
        </w:rPr>
      </w:pPr>
      <w:r>
        <w:rPr>
          <w:rFonts w:hint="eastAsia" w:ascii="Times New Roman" w:hAnsi="Times New Roman" w:cs="宋体"/>
          <w:kern w:val="0"/>
          <w:sz w:val="24"/>
          <w:szCs w:val="24"/>
        </w:rPr>
        <w:t>说明：金额</w:t>
      </w:r>
      <w:r>
        <w:rPr>
          <w:rFonts w:ascii="Times New Roman" w:hAnsi="Times New Roman" w:cs="Times New Roman"/>
          <w:kern w:val="0"/>
          <w:sz w:val="24"/>
          <w:szCs w:val="24"/>
        </w:rPr>
        <w:t>=</w:t>
      </w:r>
      <w:r>
        <w:rPr>
          <w:rFonts w:hint="eastAsia" w:ascii="Times New Roman" w:hAnsi="Times New Roman" w:cs="宋体"/>
          <w:kern w:val="0"/>
          <w:sz w:val="24"/>
          <w:szCs w:val="24"/>
        </w:rPr>
        <w:t>单价</w:t>
      </w:r>
      <w:r>
        <w:rPr>
          <w:rFonts w:ascii="Times New Roman" w:hAnsi="Times New Roman" w:cs="Times New Roman"/>
          <w:kern w:val="0"/>
          <w:sz w:val="24"/>
          <w:szCs w:val="24"/>
        </w:rPr>
        <w:t>×</w:t>
      </w:r>
      <w:r>
        <w:rPr>
          <w:rFonts w:hint="eastAsia" w:ascii="Times New Roman" w:hAnsi="Times New Roman" w:cs="宋体"/>
          <w:kern w:val="0"/>
          <w:sz w:val="24"/>
          <w:szCs w:val="24"/>
        </w:rPr>
        <w:t>数量，报价总价</w:t>
      </w:r>
      <w:r>
        <w:rPr>
          <w:rFonts w:ascii="Times New Roman" w:hAnsi="Times New Roman" w:cs="Times New Roman"/>
          <w:kern w:val="0"/>
          <w:sz w:val="24"/>
          <w:szCs w:val="24"/>
        </w:rPr>
        <w:t>=</w:t>
      </w:r>
      <w:r>
        <w:rPr>
          <w:rFonts w:hint="eastAsia" w:ascii="Times New Roman" w:hAnsi="Times New Roman" w:cs="宋体"/>
          <w:kern w:val="0"/>
          <w:sz w:val="24"/>
          <w:szCs w:val="24"/>
        </w:rPr>
        <w:t>金额之和。（视情填写报价包含的安装调试费、运杂费等内容）</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宋体" w:cs="Times New Roman"/>
          <w:kern w:val="0"/>
          <w:sz w:val="24"/>
          <w:szCs w:val="24"/>
        </w:rPr>
      </w:pPr>
      <w:r>
        <w:rPr>
          <w:rFonts w:hint="eastAsia" w:ascii="宋体" w:hAnsi="宋体" w:cs="宋体"/>
          <w:kern w:val="0"/>
          <w:sz w:val="24"/>
          <w:szCs w:val="24"/>
        </w:rPr>
        <w:t>报价方全称：（盖章）法定代表人（或授权代表）：（签字）</w:t>
      </w:r>
    </w:p>
    <w:p>
      <w:pPr>
        <w:rPr>
          <w:rFonts w:ascii="宋体" w:cs="Times New Roman"/>
          <w:kern w:val="0"/>
          <w:sz w:val="24"/>
          <w:szCs w:val="24"/>
        </w:rPr>
      </w:pPr>
    </w:p>
    <w:p>
      <w:pPr>
        <w:rPr>
          <w:rFonts w:ascii="宋体" w:cs="Times New Roman"/>
          <w:kern w:val="0"/>
          <w:sz w:val="24"/>
          <w:szCs w:val="24"/>
        </w:rPr>
      </w:pPr>
    </w:p>
    <w:p>
      <w:pPr>
        <w:jc w:val="center"/>
        <w:rPr>
          <w:rFonts w:ascii="黑体" w:hAnsi="黑体" w:eastAsia="黑体" w:cs="Times New Roman"/>
          <w:kern w:val="0"/>
          <w:sz w:val="28"/>
          <w:szCs w:val="28"/>
        </w:rPr>
      </w:pPr>
      <w:r>
        <w:rPr>
          <w:rFonts w:hint="eastAsia" w:ascii="宋体" w:hAnsi="宋体" w:cs="宋体"/>
          <w:kern w:val="0"/>
          <w:sz w:val="24"/>
          <w:szCs w:val="24"/>
        </w:rPr>
        <w:t>年月日</w:t>
      </w: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技术指标参数响应偏离表</w:t>
      </w:r>
    </w:p>
    <w:p>
      <w:pPr>
        <w:rPr>
          <w:rFonts w:ascii="宋体" w:cs="Times New Roman"/>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医院门诊电子显示屏更换</w:t>
      </w:r>
      <w:r>
        <w:rPr>
          <w:rFonts w:hint="eastAsia" w:ascii="宋体" w:hAnsi="宋体" w:cs="宋体"/>
          <w:kern w:val="0"/>
          <w:sz w:val="24"/>
          <w:szCs w:val="24"/>
        </w:rPr>
        <w:t>项目编号：</w:t>
      </w:r>
      <w:r>
        <w:rPr>
          <w:rFonts w:hint="eastAsia" w:ascii="宋体" w:hAnsi="宋体" w:cs="宋体"/>
          <w:kern w:val="0"/>
          <w:sz w:val="24"/>
          <w:szCs w:val="24"/>
          <w:lang w:eastAsia="zh-CN"/>
        </w:rPr>
        <w:t>GZBC20FG01002</w:t>
      </w:r>
      <w:r>
        <w:rPr>
          <w:rFonts w:ascii="宋体" w:hAnsi="宋体" w:cs="宋体"/>
          <w:kern w:val="0"/>
          <w:sz w:val="24"/>
          <w:szCs w:val="24"/>
        </w:rPr>
        <w:t xml:space="preserve">                     </w:t>
      </w:r>
      <w:r>
        <w:rPr>
          <w:rFonts w:hint="eastAsia" w:ascii="宋体" w:hAnsi="宋体" w:cs="宋体"/>
          <w:kern w:val="0"/>
          <w:sz w:val="24"/>
          <w:szCs w:val="24"/>
        </w:rPr>
        <w:t>包号：</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1427"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货物</w:t>
            </w:r>
            <w:r>
              <w:rPr>
                <w:rFonts w:ascii="Times New Roman" w:hAnsi="Times New Roman" w:cs="Times New Roman"/>
                <w:kern w:val="0"/>
                <w:sz w:val="24"/>
                <w:szCs w:val="24"/>
              </w:rPr>
              <w:t>/</w:t>
            </w:r>
            <w:r>
              <w:rPr>
                <w:rFonts w:hint="eastAsia" w:ascii="Times New Roman" w:hAnsi="Times New Roman" w:cs="宋体"/>
                <w:kern w:val="0"/>
                <w:sz w:val="24"/>
                <w:szCs w:val="24"/>
              </w:rPr>
              <w:t>部件</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名称</w:t>
            </w:r>
          </w:p>
        </w:tc>
        <w:tc>
          <w:tcPr>
            <w:tcW w:w="20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技术指标参数</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要求</w:t>
            </w:r>
          </w:p>
        </w:tc>
        <w:tc>
          <w:tcPr>
            <w:tcW w:w="20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技术指标参数</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响应</w:t>
            </w:r>
          </w:p>
        </w:tc>
        <w:tc>
          <w:tcPr>
            <w:tcW w:w="151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偏离</w:t>
            </w:r>
          </w:p>
        </w:tc>
        <w:tc>
          <w:tcPr>
            <w:tcW w:w="1374"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0" w:type="dxa"/>
            <w:vAlign w:val="center"/>
          </w:tcPr>
          <w:p>
            <w:pPr>
              <w:spacing w:line="300" w:lineRule="exact"/>
              <w:jc w:val="center"/>
              <w:rPr>
                <w:rFonts w:ascii="Times New Roman" w:hAnsi="Times New Roman" w:cs="Times New Roman"/>
                <w:kern w:val="0"/>
                <w:sz w:val="24"/>
                <w:szCs w:val="24"/>
              </w:rPr>
            </w:pPr>
          </w:p>
        </w:tc>
        <w:tc>
          <w:tcPr>
            <w:tcW w:w="1427"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2010" w:type="dxa"/>
            <w:vAlign w:val="center"/>
          </w:tcPr>
          <w:p>
            <w:pPr>
              <w:spacing w:line="300" w:lineRule="exact"/>
              <w:jc w:val="center"/>
              <w:rPr>
                <w:rFonts w:ascii="Times New Roman" w:hAnsi="Times New Roman" w:cs="Times New Roman"/>
                <w:kern w:val="0"/>
                <w:sz w:val="24"/>
                <w:szCs w:val="24"/>
              </w:rPr>
            </w:pPr>
          </w:p>
        </w:tc>
        <w:tc>
          <w:tcPr>
            <w:tcW w:w="1510" w:type="dxa"/>
            <w:vAlign w:val="center"/>
          </w:tcPr>
          <w:p>
            <w:pPr>
              <w:spacing w:line="300" w:lineRule="exact"/>
              <w:jc w:val="center"/>
              <w:rPr>
                <w:rFonts w:ascii="Times New Roman" w:hAnsi="Times New Roman" w:cs="Times New Roman"/>
                <w:kern w:val="0"/>
                <w:sz w:val="24"/>
                <w:szCs w:val="24"/>
              </w:rPr>
            </w:pPr>
          </w:p>
        </w:tc>
        <w:tc>
          <w:tcPr>
            <w:tcW w:w="1374" w:type="dxa"/>
            <w:vAlign w:val="center"/>
          </w:tcPr>
          <w:p>
            <w:pPr>
              <w:spacing w:line="300" w:lineRule="exact"/>
              <w:jc w:val="center"/>
              <w:rPr>
                <w:rFonts w:ascii="Times New Roman" w:hAnsi="Times New Roman" w:cs="Times New Roman"/>
                <w:kern w:val="0"/>
                <w:sz w:val="24"/>
                <w:szCs w:val="24"/>
              </w:rPr>
            </w:pPr>
          </w:p>
        </w:tc>
      </w:tr>
    </w:tbl>
    <w:p>
      <w:pPr>
        <w:ind w:firstLine="462" w:firstLineChars="200"/>
        <w:rPr>
          <w:rFonts w:ascii="Times New Roman" w:hAnsi="Times New Roman" w:cs="Times New Roman"/>
          <w:kern w:val="0"/>
          <w:sz w:val="24"/>
          <w:szCs w:val="24"/>
        </w:rPr>
      </w:pPr>
      <w:r>
        <w:rPr>
          <w:rFonts w:hint="eastAsia" w:ascii="Times New Roman" w:hAnsi="Times New Roman" w:cs="宋体"/>
          <w:kern w:val="0"/>
          <w:sz w:val="24"/>
          <w:szCs w:val="24"/>
        </w:rPr>
        <w:t>说明：报价方应对照谈判文件技术要求，逐条如实填写所报价产品的具体指标参数，注明无偏离、正偏离或负偏离，并在备注中注明偏离的具体内容。技术指标参数响应栏如果原文复制谈判文件技术要求，可能会被视为无效报价。</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hint="eastAsia" w:ascii="仿宋_GB2312" w:hAnsi="宋体" w:eastAsia="仿宋_GB2312" w:cs="仿宋_GB2312"/>
          <w:kern w:val="0"/>
          <w:sz w:val="32"/>
          <w:szCs w:val="32"/>
          <w:lang w:val="zh-CN"/>
        </w:rPr>
      </w:pPr>
      <w:r>
        <w:rPr>
          <w:rFonts w:hint="eastAsia" w:ascii="仿宋_GB2312" w:hAnsi="宋体" w:eastAsia="仿宋_GB2312" w:cs="仿宋_GB2312"/>
          <w:kern w:val="0"/>
          <w:sz w:val="32"/>
          <w:szCs w:val="32"/>
          <w:lang w:val="zh-CN"/>
        </w:rPr>
        <w:t>年月日</w:t>
      </w:r>
    </w:p>
    <w:p>
      <w:pPr>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主要商务条款响应偏离表</w:t>
      </w:r>
    </w:p>
    <w:p>
      <w:pPr>
        <w:rPr>
          <w:rFonts w:ascii="宋体" w:cs="Times New Roman"/>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医院门诊电子显示屏更换</w:t>
      </w:r>
      <w:r>
        <w:rPr>
          <w:rFonts w:hint="eastAsia" w:ascii="宋体" w:hAnsi="宋体" w:cs="宋体"/>
          <w:kern w:val="0"/>
          <w:sz w:val="24"/>
          <w:szCs w:val="24"/>
        </w:rPr>
        <w:t>项目编号：</w:t>
      </w:r>
      <w:r>
        <w:rPr>
          <w:rFonts w:hint="eastAsia" w:ascii="宋体" w:hAnsi="宋体" w:cs="宋体"/>
          <w:kern w:val="0"/>
          <w:sz w:val="24"/>
          <w:szCs w:val="24"/>
          <w:lang w:eastAsia="zh-CN"/>
        </w:rPr>
        <w:t>GZBC20FG01002</w:t>
      </w:r>
      <w:r>
        <w:rPr>
          <w:rFonts w:ascii="宋体" w:hAnsi="宋体" w:cs="宋体"/>
          <w:kern w:val="0"/>
          <w:sz w:val="24"/>
          <w:szCs w:val="24"/>
        </w:rPr>
        <w:t xml:space="preserve">                     </w:t>
      </w:r>
      <w:r>
        <w:rPr>
          <w:rFonts w:hint="eastAsia" w:ascii="宋体" w:hAnsi="宋体" w:cs="宋体"/>
          <w:kern w:val="0"/>
          <w:sz w:val="24"/>
          <w:szCs w:val="24"/>
        </w:rPr>
        <w:t>包号：</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序号</w:t>
            </w:r>
          </w:p>
        </w:tc>
        <w:tc>
          <w:tcPr>
            <w:tcW w:w="1914"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谈判文件条目号</w:t>
            </w:r>
          </w:p>
        </w:tc>
        <w:tc>
          <w:tcPr>
            <w:tcW w:w="2271" w:type="dxa"/>
            <w:vAlign w:val="center"/>
          </w:tcPr>
          <w:p>
            <w:pPr>
              <w:spacing w:beforeLines="20" w:afterLines="20" w:line="300" w:lineRule="exact"/>
              <w:ind w:firstLine="95" w:firstLineChars="41"/>
              <w:rPr>
                <w:rFonts w:ascii="Times New Roman" w:hAnsi="Times New Roman" w:cs="Times New Roman"/>
                <w:sz w:val="24"/>
                <w:szCs w:val="24"/>
              </w:rPr>
            </w:pPr>
            <w:r>
              <w:rPr>
                <w:rFonts w:hint="eastAsia" w:ascii="Times New Roman" w:hAnsi="Times New Roman" w:cs="宋体"/>
                <w:kern w:val="0"/>
                <w:sz w:val="24"/>
                <w:szCs w:val="24"/>
              </w:rPr>
              <w:t>谈判文件商务条款</w:t>
            </w:r>
          </w:p>
        </w:tc>
        <w:tc>
          <w:tcPr>
            <w:tcW w:w="2611"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报价文件商务条款响应</w:t>
            </w:r>
          </w:p>
        </w:tc>
        <w:tc>
          <w:tcPr>
            <w:tcW w:w="800"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sz w:val="24"/>
                <w:szCs w:val="24"/>
              </w:rPr>
              <w:t>偏离</w:t>
            </w:r>
          </w:p>
        </w:tc>
        <w:tc>
          <w:tcPr>
            <w:tcW w:w="777" w:type="dxa"/>
            <w:vAlign w:val="center"/>
          </w:tcPr>
          <w:p>
            <w:pPr>
              <w:spacing w:beforeLines="20" w:afterLines="20" w:line="300" w:lineRule="exact"/>
              <w:rPr>
                <w:rFonts w:ascii="Times New Roman" w:hAnsi="Times New Roman" w:cs="Times New Roman"/>
                <w:sz w:val="24"/>
                <w:szCs w:val="24"/>
              </w:rPr>
            </w:pPr>
            <w:r>
              <w:rPr>
                <w:rFonts w:hint="eastAsia" w:ascii="Times New Roman" w:hAnsi="Times New Roman" w:cs="宋体"/>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8" w:type="dxa"/>
            <w:vAlign w:val="center"/>
          </w:tcPr>
          <w:p>
            <w:pPr>
              <w:spacing w:beforeLines="20" w:afterLines="20" w:line="300" w:lineRule="exact"/>
              <w:rPr>
                <w:rFonts w:ascii="Times New Roman" w:hAnsi="Times New Roman" w:cs="Times New Roman"/>
                <w:sz w:val="24"/>
                <w:szCs w:val="24"/>
              </w:rPr>
            </w:pPr>
          </w:p>
        </w:tc>
        <w:tc>
          <w:tcPr>
            <w:tcW w:w="1914" w:type="dxa"/>
            <w:vAlign w:val="center"/>
          </w:tcPr>
          <w:p>
            <w:pPr>
              <w:spacing w:beforeLines="20" w:afterLines="20" w:line="300" w:lineRule="exact"/>
              <w:rPr>
                <w:rFonts w:ascii="Times New Roman" w:hAnsi="Times New Roman" w:cs="Times New Roman"/>
                <w:sz w:val="24"/>
                <w:szCs w:val="24"/>
              </w:rPr>
            </w:pPr>
          </w:p>
        </w:tc>
        <w:tc>
          <w:tcPr>
            <w:tcW w:w="2271" w:type="dxa"/>
            <w:vAlign w:val="center"/>
          </w:tcPr>
          <w:p>
            <w:pPr>
              <w:spacing w:beforeLines="20" w:afterLines="20" w:line="300" w:lineRule="exact"/>
              <w:rPr>
                <w:rFonts w:ascii="Times New Roman" w:hAnsi="Times New Roman" w:cs="Times New Roman"/>
                <w:sz w:val="24"/>
                <w:szCs w:val="24"/>
              </w:rPr>
            </w:pPr>
          </w:p>
        </w:tc>
        <w:tc>
          <w:tcPr>
            <w:tcW w:w="2611" w:type="dxa"/>
            <w:vAlign w:val="center"/>
          </w:tcPr>
          <w:p>
            <w:pPr>
              <w:spacing w:beforeLines="20" w:afterLines="20" w:line="300" w:lineRule="exact"/>
              <w:rPr>
                <w:rFonts w:ascii="Times New Roman" w:hAnsi="Times New Roman" w:cs="Times New Roman"/>
                <w:sz w:val="24"/>
                <w:szCs w:val="24"/>
              </w:rPr>
            </w:pPr>
          </w:p>
        </w:tc>
        <w:tc>
          <w:tcPr>
            <w:tcW w:w="800" w:type="dxa"/>
            <w:vAlign w:val="center"/>
          </w:tcPr>
          <w:p>
            <w:pPr>
              <w:spacing w:beforeLines="20" w:afterLines="20" w:line="300" w:lineRule="exact"/>
              <w:rPr>
                <w:rFonts w:ascii="Times New Roman" w:hAnsi="Times New Roman" w:cs="Times New Roman"/>
                <w:sz w:val="24"/>
                <w:szCs w:val="24"/>
              </w:rPr>
            </w:pPr>
          </w:p>
        </w:tc>
        <w:tc>
          <w:tcPr>
            <w:tcW w:w="777" w:type="dxa"/>
            <w:vAlign w:val="center"/>
          </w:tcPr>
          <w:p>
            <w:pPr>
              <w:spacing w:beforeLines="20" w:afterLines="20" w:line="300" w:lineRule="exact"/>
              <w:rPr>
                <w:rFonts w:ascii="Times New Roman" w:hAnsi="Times New Roman" w:cs="Times New Roman"/>
                <w:sz w:val="24"/>
                <w:szCs w:val="24"/>
              </w:rPr>
            </w:pPr>
          </w:p>
        </w:tc>
      </w:tr>
    </w:tbl>
    <w:p>
      <w:pPr>
        <w:ind w:firstLine="462" w:firstLineChars="200"/>
        <w:rPr>
          <w:rFonts w:ascii="宋体" w:cs="Times New Roman"/>
          <w:kern w:val="0"/>
          <w:sz w:val="24"/>
          <w:szCs w:val="24"/>
        </w:rPr>
      </w:pPr>
      <w:r>
        <w:rPr>
          <w:rFonts w:hint="eastAsia" w:ascii="宋体" w:hAnsi="宋体" w:cs="宋体"/>
          <w:kern w:val="0"/>
          <w:sz w:val="24"/>
          <w:szCs w:val="24"/>
        </w:rPr>
        <w:t>商务条款主要包括报价要求、售后服务、专利权和保密要求、交货时间、地点与方式、付款及结算方式等。如有遗漏，请报价方按照谈判文件正文自行补充完整。</w:t>
      </w:r>
    </w:p>
    <w:p>
      <w:pPr>
        <w:ind w:firstLine="462" w:firstLineChars="200"/>
        <w:rPr>
          <w:rFonts w:ascii="Times New Roman" w:hAnsi="Times New Roman" w:cs="Times New Roman"/>
          <w:kern w:val="0"/>
          <w:sz w:val="24"/>
          <w:szCs w:val="24"/>
        </w:rPr>
      </w:pPr>
    </w:p>
    <w:p>
      <w:pPr>
        <w:jc w:val="center"/>
        <w:rPr>
          <w:rFonts w:ascii="Times New Roman" w:hAnsi="Times New Roman" w:eastAsia="楷体_GB2312" w:cs="Times New Roman"/>
          <w:kern w:val="0"/>
          <w:sz w:val="24"/>
          <w:szCs w:val="24"/>
          <w:u w:val="single"/>
        </w:rPr>
      </w:pPr>
      <w:r>
        <w:rPr>
          <w:rFonts w:hint="eastAsia" w:ascii="Times New Roman" w:hAnsi="Times New Roman" w:eastAsia="楷体_GB2312" w:cs="楷体_GB2312"/>
          <w:kern w:val="0"/>
          <w:sz w:val="24"/>
          <w:szCs w:val="24"/>
          <w:u w:val="single"/>
        </w:rPr>
        <w:t>特别提示</w:t>
      </w:r>
    </w:p>
    <w:p>
      <w:pPr>
        <w:ind w:firstLine="462"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本表所列条款必须一一予以响应，</w:t>
      </w:r>
      <w:r>
        <w:rPr>
          <w:rFonts w:hint="eastAsia" w:ascii="宋体" w:cs="宋体"/>
          <w:kern w:val="0"/>
          <w:sz w:val="24"/>
          <w:szCs w:val="24"/>
        </w:rPr>
        <w:t>“</w:t>
      </w:r>
      <w:r>
        <w:rPr>
          <w:rFonts w:hint="eastAsia" w:ascii="宋体" w:hAnsi="宋体" w:cs="宋体"/>
          <w:kern w:val="0"/>
          <w:sz w:val="24"/>
          <w:szCs w:val="24"/>
        </w:rPr>
        <w:t>报价文件商务条款响应</w:t>
      </w:r>
      <w:r>
        <w:rPr>
          <w:rFonts w:hint="eastAsia" w:ascii="宋体" w:cs="宋体"/>
          <w:kern w:val="0"/>
          <w:sz w:val="24"/>
          <w:szCs w:val="24"/>
        </w:rPr>
        <w:t>”</w:t>
      </w:r>
      <w:r>
        <w:rPr>
          <w:rFonts w:hint="eastAsia" w:ascii="宋体" w:hAnsi="宋体" w:cs="宋体"/>
          <w:kern w:val="0"/>
          <w:sz w:val="24"/>
          <w:szCs w:val="24"/>
        </w:rPr>
        <w:t>一栏应填写具体的响应内容，有偏离的要具体说明，纸面不敷时，可以另加页。</w:t>
      </w:r>
    </w:p>
    <w:p>
      <w:pPr>
        <w:ind w:firstLine="462" w:firstLineChars="200"/>
        <w:rPr>
          <w:rFonts w:ascii="Times New Roman" w:hAnsi="Times New Roman" w:cs="Times New Roman"/>
          <w:kern w:val="0"/>
          <w:sz w:val="28"/>
          <w:szCs w:val="28"/>
        </w:rPr>
      </w:pPr>
      <w:r>
        <w:rPr>
          <w:rFonts w:ascii="宋体" w:hAnsi="宋体" w:cs="宋体"/>
          <w:kern w:val="0"/>
          <w:sz w:val="24"/>
          <w:szCs w:val="24"/>
        </w:rPr>
        <w:t>2.</w:t>
      </w:r>
      <w:r>
        <w:rPr>
          <w:rFonts w:hint="eastAsia" w:ascii="宋体" w:hAnsi="宋体" w:cs="宋体"/>
          <w:kern w:val="0"/>
          <w:sz w:val="24"/>
          <w:szCs w:val="24"/>
        </w:rPr>
        <w:t>请报价方认真填写本表内容，如填写错误将可能导致报价无效。</w:t>
      </w: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hint="eastAsia" w:ascii="黑体" w:hAnsi="黑体" w:eastAsia="黑体" w:cs="Times New Roman"/>
          <w:snapToGrid w:val="0"/>
          <w:kern w:val="0"/>
          <w:sz w:val="32"/>
          <w:szCs w:val="32"/>
          <w:lang w:val="en-US" w:eastAsia="zh-CN"/>
        </w:rPr>
      </w:pPr>
      <w:r>
        <w:rPr>
          <w:rFonts w:ascii="Times New Roman" w:hAnsi="Times New Roman" w:cs="Times New Roman"/>
          <w:snapToGrid w:val="0"/>
          <w:kern w:val="0"/>
          <w:sz w:val="28"/>
          <w:szCs w:val="28"/>
          <w:lang w:val="zh-CN"/>
        </w:rPr>
        <w:br w:type="page"/>
      </w: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5</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交货清单</w:t>
      </w:r>
    </w:p>
    <w:p>
      <w:pPr>
        <w:rPr>
          <w:rFonts w:ascii="宋体" w:cs="Times New Roman"/>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医院门诊电子显示屏更换</w:t>
      </w:r>
      <w:r>
        <w:rPr>
          <w:rFonts w:hint="eastAsia" w:ascii="宋体" w:hAnsi="宋体" w:cs="宋体"/>
          <w:kern w:val="0"/>
          <w:sz w:val="24"/>
          <w:szCs w:val="24"/>
        </w:rPr>
        <w:t>项目编号：</w:t>
      </w:r>
      <w:r>
        <w:rPr>
          <w:rFonts w:hint="eastAsia" w:ascii="宋体" w:hAnsi="宋体" w:cs="宋体"/>
          <w:kern w:val="0"/>
          <w:sz w:val="24"/>
          <w:szCs w:val="24"/>
          <w:lang w:eastAsia="zh-CN"/>
        </w:rPr>
        <w:t>GZBC20FG01002</w:t>
      </w:r>
      <w:r>
        <w:rPr>
          <w:rFonts w:ascii="宋体" w:hAnsi="宋体" w:cs="宋体"/>
          <w:kern w:val="0"/>
          <w:sz w:val="24"/>
          <w:szCs w:val="24"/>
        </w:rPr>
        <w:t xml:space="preserve">                     </w:t>
      </w:r>
      <w:r>
        <w:rPr>
          <w:rFonts w:hint="eastAsia" w:ascii="宋体" w:hAnsi="宋体" w:cs="宋体"/>
          <w:kern w:val="0"/>
          <w:sz w:val="24"/>
          <w:szCs w:val="24"/>
        </w:rPr>
        <w:t>包号：</w:t>
      </w:r>
    </w:p>
    <w:tbl>
      <w:tblPr>
        <w:tblStyle w:val="17"/>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641"/>
        <w:gridCol w:w="1144"/>
        <w:gridCol w:w="1819"/>
        <w:gridCol w:w="1046"/>
        <w:gridCol w:w="968"/>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序号</w:t>
            </w:r>
          </w:p>
        </w:tc>
        <w:tc>
          <w:tcPr>
            <w:tcW w:w="1641"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品名</w:t>
            </w:r>
          </w:p>
        </w:tc>
        <w:tc>
          <w:tcPr>
            <w:tcW w:w="1144"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品牌</w:t>
            </w:r>
          </w:p>
        </w:tc>
        <w:tc>
          <w:tcPr>
            <w:tcW w:w="1819"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规格型号</w:t>
            </w:r>
          </w:p>
        </w:tc>
        <w:tc>
          <w:tcPr>
            <w:tcW w:w="1046"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数量</w:t>
            </w:r>
          </w:p>
        </w:tc>
        <w:tc>
          <w:tcPr>
            <w:tcW w:w="968" w:type="dxa"/>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单位</w:t>
            </w: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r>
              <w:rPr>
                <w:rFonts w:hint="eastAsia" w:ascii="Times New Roman" w:hAnsi="Times New Roman" w:cs="宋体"/>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color w:val="FF0000"/>
                <w:kern w:val="0"/>
                <w:sz w:val="24"/>
                <w:szCs w:val="24"/>
              </w:rPr>
            </w:pPr>
          </w:p>
        </w:tc>
        <w:tc>
          <w:tcPr>
            <w:tcW w:w="1641" w:type="dxa"/>
            <w:vAlign w:val="center"/>
          </w:tcPr>
          <w:p>
            <w:pPr>
              <w:jc w:val="center"/>
              <w:rPr>
                <w:rFonts w:ascii="Times New Roman" w:hAnsi="Times New Roman" w:cs="Times New Roman"/>
                <w:snapToGrid w:val="0"/>
                <w:color w:val="FF0000"/>
                <w:kern w:val="0"/>
                <w:sz w:val="24"/>
                <w:szCs w:val="24"/>
              </w:rPr>
            </w:pPr>
          </w:p>
        </w:tc>
        <w:tc>
          <w:tcPr>
            <w:tcW w:w="1144" w:type="dxa"/>
            <w:vAlign w:val="center"/>
          </w:tcPr>
          <w:p>
            <w:pPr>
              <w:jc w:val="center"/>
              <w:rPr>
                <w:rFonts w:ascii="Times New Roman" w:hAnsi="Times New Roman" w:cs="Times New Roman"/>
                <w:snapToGrid w:val="0"/>
                <w:color w:val="FF0000"/>
                <w:kern w:val="0"/>
                <w:sz w:val="24"/>
                <w:szCs w:val="24"/>
              </w:rPr>
            </w:pPr>
          </w:p>
        </w:tc>
        <w:tc>
          <w:tcPr>
            <w:tcW w:w="1819" w:type="dxa"/>
            <w:vAlign w:val="center"/>
          </w:tcPr>
          <w:p>
            <w:pPr>
              <w:jc w:val="center"/>
              <w:rPr>
                <w:rFonts w:ascii="Times New Roman" w:hAnsi="Times New Roman" w:cs="Times New Roman"/>
                <w:snapToGrid w:val="0"/>
                <w:color w:val="FF0000"/>
                <w:kern w:val="0"/>
                <w:sz w:val="24"/>
                <w:szCs w:val="24"/>
              </w:rPr>
            </w:pPr>
          </w:p>
        </w:tc>
        <w:tc>
          <w:tcPr>
            <w:tcW w:w="1046" w:type="dxa"/>
            <w:vAlign w:val="center"/>
          </w:tcPr>
          <w:p>
            <w:pPr>
              <w:jc w:val="center"/>
              <w:rPr>
                <w:rFonts w:ascii="Times New Roman" w:hAnsi="Times New Roman" w:cs="Times New Roman"/>
                <w:snapToGrid w:val="0"/>
                <w:color w:val="FF0000"/>
                <w:kern w:val="0"/>
                <w:sz w:val="24"/>
                <w:szCs w:val="24"/>
              </w:rPr>
            </w:pPr>
          </w:p>
        </w:tc>
        <w:tc>
          <w:tcPr>
            <w:tcW w:w="968" w:type="dxa"/>
            <w:vAlign w:val="center"/>
          </w:tcPr>
          <w:p>
            <w:pPr>
              <w:jc w:val="center"/>
              <w:rPr>
                <w:rFonts w:ascii="Times New Roman" w:hAnsi="Times New Roman" w:cs="Times New Roman"/>
                <w:snapToGrid w:val="0"/>
                <w:color w:val="FF000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51" w:type="dxa"/>
            <w:vAlign w:val="center"/>
          </w:tcPr>
          <w:p>
            <w:pPr>
              <w:jc w:val="center"/>
              <w:rPr>
                <w:rFonts w:ascii="Times New Roman" w:hAnsi="Times New Roman" w:cs="Times New Roman"/>
                <w:snapToGrid w:val="0"/>
                <w:kern w:val="0"/>
                <w:sz w:val="24"/>
                <w:szCs w:val="24"/>
              </w:rPr>
            </w:pPr>
          </w:p>
        </w:tc>
        <w:tc>
          <w:tcPr>
            <w:tcW w:w="1641" w:type="dxa"/>
            <w:vAlign w:val="center"/>
          </w:tcPr>
          <w:p>
            <w:pPr>
              <w:jc w:val="center"/>
              <w:rPr>
                <w:rFonts w:ascii="Times New Roman" w:hAnsi="Times New Roman" w:cs="Times New Roman"/>
                <w:snapToGrid w:val="0"/>
                <w:kern w:val="0"/>
                <w:sz w:val="24"/>
                <w:szCs w:val="24"/>
              </w:rPr>
            </w:pPr>
          </w:p>
        </w:tc>
        <w:tc>
          <w:tcPr>
            <w:tcW w:w="1144" w:type="dxa"/>
            <w:vAlign w:val="center"/>
          </w:tcPr>
          <w:p>
            <w:pPr>
              <w:jc w:val="center"/>
              <w:rPr>
                <w:rFonts w:ascii="Times New Roman" w:hAnsi="Times New Roman" w:cs="Times New Roman"/>
                <w:snapToGrid w:val="0"/>
                <w:kern w:val="0"/>
                <w:sz w:val="24"/>
                <w:szCs w:val="24"/>
              </w:rPr>
            </w:pPr>
          </w:p>
        </w:tc>
        <w:tc>
          <w:tcPr>
            <w:tcW w:w="1819" w:type="dxa"/>
            <w:vAlign w:val="center"/>
          </w:tcPr>
          <w:p>
            <w:pPr>
              <w:jc w:val="center"/>
              <w:rPr>
                <w:rFonts w:ascii="Times New Roman" w:hAnsi="Times New Roman" w:cs="Times New Roman"/>
                <w:snapToGrid w:val="0"/>
                <w:kern w:val="0"/>
                <w:sz w:val="24"/>
                <w:szCs w:val="24"/>
              </w:rPr>
            </w:pPr>
          </w:p>
        </w:tc>
        <w:tc>
          <w:tcPr>
            <w:tcW w:w="1046" w:type="dxa"/>
            <w:vAlign w:val="center"/>
          </w:tcPr>
          <w:p>
            <w:pPr>
              <w:jc w:val="center"/>
              <w:rPr>
                <w:rFonts w:ascii="Times New Roman" w:hAnsi="Times New Roman" w:cs="Times New Roman"/>
                <w:snapToGrid w:val="0"/>
                <w:kern w:val="0"/>
                <w:sz w:val="24"/>
                <w:szCs w:val="24"/>
              </w:rPr>
            </w:pPr>
          </w:p>
        </w:tc>
        <w:tc>
          <w:tcPr>
            <w:tcW w:w="968" w:type="dxa"/>
            <w:vAlign w:val="center"/>
          </w:tcPr>
          <w:p>
            <w:pPr>
              <w:jc w:val="center"/>
              <w:rPr>
                <w:rFonts w:ascii="Times New Roman" w:hAnsi="Times New Roman" w:cs="Times New Roman"/>
                <w:snapToGrid w:val="0"/>
                <w:kern w:val="0"/>
                <w:sz w:val="24"/>
                <w:szCs w:val="24"/>
              </w:rPr>
            </w:pPr>
          </w:p>
        </w:tc>
        <w:tc>
          <w:tcPr>
            <w:tcW w:w="1692" w:type="dxa"/>
            <w:tcBorders>
              <w:left w:val="single" w:color="auto" w:sz="4" w:space="0"/>
            </w:tcBorders>
            <w:vAlign w:val="center"/>
          </w:tcPr>
          <w:p>
            <w:pPr>
              <w:jc w:val="center"/>
              <w:rPr>
                <w:rFonts w:ascii="Times New Roman" w:hAnsi="Times New Roman" w:cs="Times New Roman"/>
                <w:snapToGrid w:val="0"/>
                <w:kern w:val="0"/>
                <w:sz w:val="24"/>
                <w:szCs w:val="24"/>
              </w:rPr>
            </w:pPr>
          </w:p>
        </w:tc>
      </w:tr>
    </w:tbl>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Times New Roman" w:hAnsi="Times New Roman" w:cs="Times New Roman"/>
          <w:snapToGrid w:val="0"/>
          <w:kern w:val="0"/>
          <w:sz w:val="24"/>
          <w:szCs w:val="24"/>
        </w:rPr>
      </w:pPr>
      <w:r>
        <w:rPr>
          <w:rFonts w:hint="eastAsia" w:ascii="仿宋_GB2312" w:hAnsi="宋体" w:eastAsia="仿宋_GB2312" w:cs="仿宋_GB2312"/>
          <w:kern w:val="0"/>
          <w:sz w:val="32"/>
          <w:szCs w:val="32"/>
          <w:lang w:val="zh-CN"/>
        </w:rPr>
        <w:t>年月日</w:t>
      </w: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6</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易损易耗件清单</w:t>
      </w:r>
    </w:p>
    <w:p>
      <w:pPr>
        <w:rPr>
          <w:rFonts w:ascii="宋体" w:cs="Times New Roman"/>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医院门诊电子显示屏更换</w:t>
      </w:r>
      <w:r>
        <w:rPr>
          <w:rFonts w:hint="eastAsia" w:ascii="宋体" w:hAnsi="宋体" w:cs="宋体"/>
          <w:kern w:val="0"/>
          <w:sz w:val="24"/>
          <w:szCs w:val="24"/>
        </w:rPr>
        <w:t>项目编号：</w:t>
      </w:r>
      <w:r>
        <w:rPr>
          <w:rFonts w:hint="eastAsia" w:ascii="宋体" w:hAnsi="宋体" w:cs="宋体"/>
          <w:kern w:val="0"/>
          <w:sz w:val="24"/>
          <w:szCs w:val="24"/>
          <w:lang w:eastAsia="zh-CN"/>
        </w:rPr>
        <w:t>GZBC20FG01002</w:t>
      </w:r>
      <w:r>
        <w:rPr>
          <w:rFonts w:ascii="宋体" w:hAnsi="宋体" w:cs="宋体"/>
          <w:kern w:val="0"/>
          <w:sz w:val="24"/>
          <w:szCs w:val="24"/>
        </w:rPr>
        <w:t xml:space="preserve">                     </w:t>
      </w:r>
      <w:r>
        <w:rPr>
          <w:rFonts w:hint="eastAsia" w:ascii="宋体" w:hAnsi="宋体" w:cs="宋体"/>
          <w:kern w:val="0"/>
          <w:sz w:val="24"/>
          <w:szCs w:val="24"/>
        </w:rPr>
        <w:t>包号：</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43"/>
        <w:gridCol w:w="1605"/>
        <w:gridCol w:w="860"/>
        <w:gridCol w:w="864"/>
        <w:gridCol w:w="860"/>
        <w:gridCol w:w="1204"/>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36"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序号</w:t>
            </w:r>
          </w:p>
        </w:tc>
        <w:tc>
          <w:tcPr>
            <w:tcW w:w="1443"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易损易耗件</w:t>
            </w:r>
          </w:p>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名称</w:t>
            </w:r>
          </w:p>
        </w:tc>
        <w:tc>
          <w:tcPr>
            <w:tcW w:w="1605"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规格型号</w:t>
            </w:r>
          </w:p>
        </w:tc>
        <w:tc>
          <w:tcPr>
            <w:tcW w:w="86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品牌</w:t>
            </w:r>
          </w:p>
        </w:tc>
        <w:tc>
          <w:tcPr>
            <w:tcW w:w="864"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数量</w:t>
            </w:r>
          </w:p>
        </w:tc>
        <w:tc>
          <w:tcPr>
            <w:tcW w:w="860"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单价</w:t>
            </w:r>
          </w:p>
        </w:tc>
        <w:tc>
          <w:tcPr>
            <w:tcW w:w="1204" w:type="dxa"/>
            <w:vAlign w:val="center"/>
          </w:tcPr>
          <w:p>
            <w:pPr>
              <w:widowControl/>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原产地</w:t>
            </w:r>
          </w:p>
        </w:tc>
        <w:tc>
          <w:tcPr>
            <w:tcW w:w="1489"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36" w:type="dxa"/>
            <w:vAlign w:val="center"/>
          </w:tcPr>
          <w:p>
            <w:pPr>
              <w:spacing w:line="30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合计</w:t>
            </w:r>
          </w:p>
        </w:tc>
        <w:tc>
          <w:tcPr>
            <w:tcW w:w="1443" w:type="dxa"/>
            <w:vAlign w:val="center"/>
          </w:tcPr>
          <w:p>
            <w:pPr>
              <w:spacing w:line="300" w:lineRule="exact"/>
              <w:jc w:val="center"/>
              <w:rPr>
                <w:rFonts w:ascii="Times New Roman" w:hAnsi="Times New Roman" w:cs="Times New Roman"/>
                <w:kern w:val="0"/>
                <w:sz w:val="24"/>
                <w:szCs w:val="24"/>
              </w:rPr>
            </w:pPr>
          </w:p>
        </w:tc>
        <w:tc>
          <w:tcPr>
            <w:tcW w:w="1605"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864" w:type="dxa"/>
            <w:vAlign w:val="center"/>
          </w:tcPr>
          <w:p>
            <w:pPr>
              <w:spacing w:line="300" w:lineRule="exact"/>
              <w:jc w:val="center"/>
              <w:rPr>
                <w:rFonts w:ascii="Times New Roman" w:hAnsi="Times New Roman" w:cs="Times New Roman"/>
                <w:kern w:val="0"/>
                <w:sz w:val="24"/>
                <w:szCs w:val="24"/>
              </w:rPr>
            </w:pPr>
          </w:p>
        </w:tc>
        <w:tc>
          <w:tcPr>
            <w:tcW w:w="860" w:type="dxa"/>
            <w:vAlign w:val="center"/>
          </w:tcPr>
          <w:p>
            <w:pPr>
              <w:spacing w:line="300" w:lineRule="exact"/>
              <w:jc w:val="center"/>
              <w:rPr>
                <w:rFonts w:ascii="Times New Roman" w:hAnsi="Times New Roman" w:cs="Times New Roman"/>
                <w:kern w:val="0"/>
                <w:sz w:val="24"/>
                <w:szCs w:val="24"/>
              </w:rPr>
            </w:pPr>
          </w:p>
        </w:tc>
        <w:tc>
          <w:tcPr>
            <w:tcW w:w="1204" w:type="dxa"/>
            <w:vAlign w:val="center"/>
          </w:tcPr>
          <w:p>
            <w:pPr>
              <w:spacing w:line="300" w:lineRule="exact"/>
              <w:jc w:val="center"/>
              <w:rPr>
                <w:rFonts w:ascii="Times New Roman" w:hAnsi="Times New Roman" w:cs="Times New Roman"/>
                <w:kern w:val="0"/>
                <w:sz w:val="24"/>
                <w:szCs w:val="24"/>
              </w:rPr>
            </w:pPr>
          </w:p>
        </w:tc>
        <w:tc>
          <w:tcPr>
            <w:tcW w:w="1489" w:type="dxa"/>
            <w:vAlign w:val="center"/>
          </w:tcPr>
          <w:p>
            <w:pPr>
              <w:spacing w:line="300" w:lineRule="exact"/>
              <w:jc w:val="center"/>
              <w:rPr>
                <w:rFonts w:ascii="Times New Roman" w:hAnsi="Times New Roman" w:cs="Times New Roman"/>
                <w:kern w:val="0"/>
                <w:sz w:val="24"/>
                <w:szCs w:val="24"/>
              </w:rPr>
            </w:pPr>
          </w:p>
        </w:tc>
      </w:tr>
    </w:tbl>
    <w:p>
      <w:pPr>
        <w:rPr>
          <w:rFonts w:ascii="Times New Roman" w:hAnsi="Times New Roman" w:cs="Times New Roman"/>
          <w:b/>
          <w:bCs/>
          <w:kern w:val="0"/>
          <w:sz w:val="28"/>
          <w:szCs w:val="28"/>
        </w:rPr>
      </w:pPr>
    </w:p>
    <w:p>
      <w:pPr>
        <w:tabs>
          <w:tab w:val="left" w:pos="804"/>
        </w:tabs>
        <w:rPr>
          <w:rFonts w:ascii="Times New Roman" w:hAnsi="Times New Roman" w:cs="Times New Roman"/>
          <w:kern w:val="0"/>
          <w:sz w:val="28"/>
          <w:szCs w:val="28"/>
        </w:rPr>
      </w:pPr>
      <w:r>
        <w:rPr>
          <w:rFonts w:ascii="Times New Roman" w:hAnsi="Times New Roman" w:cs="Times New Roman"/>
          <w:kern w:val="0"/>
          <w:sz w:val="28"/>
          <w:szCs w:val="28"/>
        </w:rPr>
        <w:tab/>
      </w: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黑体" w:hAnsi="黑体" w:eastAsia="黑体" w:cs="Times New Roman"/>
          <w:kern w:val="0"/>
          <w:sz w:val="28"/>
          <w:szCs w:val="28"/>
        </w:rPr>
      </w:pPr>
      <w:r>
        <w:rPr>
          <w:rFonts w:hint="eastAsia" w:ascii="仿宋_GB2312" w:hAnsi="宋体" w:eastAsia="仿宋_GB2312" w:cs="仿宋_GB2312"/>
          <w:kern w:val="0"/>
          <w:sz w:val="32"/>
          <w:szCs w:val="32"/>
          <w:lang w:val="zh-CN"/>
        </w:rPr>
        <w:t>年月日</w:t>
      </w:r>
    </w:p>
    <w:p>
      <w:pPr>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7</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售后服务承诺</w:t>
      </w:r>
    </w:p>
    <w:p>
      <w:pPr>
        <w:ind w:firstLine="542" w:firstLineChars="200"/>
        <w:rPr>
          <w:rFonts w:ascii="Times New Roman" w:hAnsi="Times New Roman"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仿宋_GB2312"/>
          <w:kern w:val="0"/>
          <w:sz w:val="32"/>
          <w:szCs w:val="32"/>
          <w:lang w:val="zh-CN"/>
        </w:rPr>
        <w:t>（报价方对照商务评审表中售后服务评审项自行编制。）</w:t>
      </w: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24"/>
          <w:szCs w:val="24"/>
        </w:rPr>
      </w:pPr>
    </w:p>
    <w:p>
      <w:pPr>
        <w:rPr>
          <w:rFonts w:ascii="Times New Roman" w:hAnsi="Times New Roman" w:cs="Times New Roman"/>
          <w:snapToGrid w:val="0"/>
          <w:kern w:val="0"/>
          <w:sz w:val="32"/>
          <w:szCs w:val="32"/>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8</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保密承诺书</w:t>
      </w:r>
    </w:p>
    <w:p>
      <w:pPr>
        <w:spacing w:line="240" w:lineRule="exact"/>
        <w:rPr>
          <w:rFonts w:ascii="Times New Roman" w:hAnsi="Times New Roman" w:cs="Times New Roman"/>
          <w:kern w:val="0"/>
          <w:sz w:val="32"/>
          <w:szCs w:val="32"/>
        </w:rPr>
      </w:pP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仿宋_GB2312"/>
          <w:snapToGrid w:val="0"/>
          <w:kern w:val="0"/>
          <w:sz w:val="32"/>
          <w:szCs w:val="32"/>
        </w:rPr>
        <w:t>（采购机构名称）：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lang w:val="zh-CN"/>
        </w:rPr>
        <w:t>我方参加贵部组织的编号为</w:t>
      </w:r>
      <w:r>
        <w:rPr>
          <w:rFonts w:hint="eastAsia" w:ascii="仿宋_GB2312" w:hAnsi="Times New Roman" w:eastAsia="仿宋_GB2312" w:cs="仿宋_GB2312"/>
          <w:kern w:val="0"/>
          <w:sz w:val="32"/>
          <w:szCs w:val="32"/>
        </w:rPr>
        <w:t>的名称为的项目采购活动，根据有关保密法规制度，知悉应当承担的保密义务和法律责任，本公司承诺：</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四、谈判文件以及相关技术文件专室放置、专盘存储、专人管理。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五、未经采购机构审查批准，不得擅自在互联网、通讯媒体等发表涉及此次采购项目相关内容或资讯。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违反上述承诺，愿承担一切法律责任，接受军队采购管理部门和招标人按国家和军队规定作出的相关处罚。</w:t>
      </w:r>
    </w:p>
    <w:p>
      <w:pPr>
        <w:spacing w:line="560" w:lineRule="exact"/>
        <w:ind w:firstLine="1089" w:firstLineChars="402"/>
        <w:rPr>
          <w:rFonts w:ascii="Times New Roman" w:hAnsi="Times New Roman" w:cs="Times New Roman"/>
          <w:kern w:val="0"/>
          <w:sz w:val="28"/>
          <w:szCs w:val="28"/>
        </w:rPr>
      </w:pPr>
    </w:p>
    <w:p>
      <w:pPr>
        <w:spacing w:line="560" w:lineRule="exact"/>
        <w:ind w:firstLine="1089" w:firstLineChars="402"/>
        <w:rPr>
          <w:rFonts w:ascii="Times New Roman" w:hAnsi="Times New Roman" w:cs="Times New Roman"/>
          <w:kern w:val="0"/>
          <w:sz w:val="28"/>
          <w:szCs w:val="28"/>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Times New Roman" w:hAnsi="Times New Roman" w:cs="Times New Roman"/>
          <w:kern w:val="0"/>
          <w:sz w:val="28"/>
          <w:szCs w:val="28"/>
        </w:rPr>
      </w:pPr>
    </w:p>
    <w:p>
      <w:pPr>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9</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近</w:t>
      </w:r>
      <w:r>
        <w:rPr>
          <w:rFonts w:ascii="方正小标宋简体" w:hAnsi="Times New Roman" w:eastAsia="方正小标宋简体" w:cs="方正小标宋简体"/>
          <w:kern w:val="0"/>
          <w:sz w:val="44"/>
          <w:szCs w:val="44"/>
        </w:rPr>
        <w:t>3</w:t>
      </w:r>
      <w:r>
        <w:rPr>
          <w:rFonts w:hint="eastAsia" w:ascii="方正小标宋简体" w:hAnsi="Times New Roman" w:eastAsia="方正小标宋简体" w:cs="方正小标宋简体"/>
          <w:kern w:val="0"/>
          <w:sz w:val="44"/>
          <w:szCs w:val="44"/>
        </w:rPr>
        <w:t>年成交案例及同类项目案例</w:t>
      </w:r>
    </w:p>
    <w:p>
      <w:pPr>
        <w:rPr>
          <w:rFonts w:ascii="宋体" w:cs="Times New Roman"/>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医院门诊电子显示屏更换</w:t>
      </w:r>
      <w:r>
        <w:rPr>
          <w:rFonts w:hint="eastAsia" w:ascii="宋体" w:hAnsi="宋体" w:cs="宋体"/>
          <w:kern w:val="0"/>
          <w:sz w:val="24"/>
          <w:szCs w:val="24"/>
        </w:rPr>
        <w:t>项目编号：</w:t>
      </w:r>
      <w:r>
        <w:rPr>
          <w:rFonts w:hint="eastAsia" w:ascii="宋体" w:hAnsi="宋体" w:cs="宋体"/>
          <w:kern w:val="0"/>
          <w:sz w:val="24"/>
          <w:szCs w:val="24"/>
          <w:lang w:eastAsia="zh-CN"/>
        </w:rPr>
        <w:t>GZBC20FG01002</w:t>
      </w:r>
      <w:r>
        <w:rPr>
          <w:rFonts w:ascii="宋体" w:hAnsi="宋体" w:cs="宋体"/>
          <w:kern w:val="0"/>
          <w:sz w:val="24"/>
          <w:szCs w:val="24"/>
        </w:rPr>
        <w:t xml:space="preserve">                     </w:t>
      </w:r>
      <w:r>
        <w:rPr>
          <w:rFonts w:hint="eastAsia" w:ascii="宋体" w:hAnsi="宋体" w:cs="宋体"/>
          <w:kern w:val="0"/>
          <w:sz w:val="24"/>
          <w:szCs w:val="24"/>
        </w:rPr>
        <w:t>包号：</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0"/>
        <w:gridCol w:w="977"/>
        <w:gridCol w:w="1682"/>
        <w:gridCol w:w="1394"/>
        <w:gridCol w:w="1055"/>
        <w:gridCol w:w="14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jc w:val="center"/>
        </w:trPr>
        <w:tc>
          <w:tcPr>
            <w:tcW w:w="724"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序号</w:t>
            </w:r>
          </w:p>
        </w:tc>
        <w:tc>
          <w:tcPr>
            <w:tcW w:w="840"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用户</w:t>
            </w:r>
          </w:p>
          <w:p>
            <w:pPr>
              <w:spacing w:line="300" w:lineRule="exact"/>
              <w:jc w:val="center"/>
              <w:rPr>
                <w:rFonts w:ascii="宋体" w:cs="Times New Roman"/>
                <w:kern w:val="0"/>
                <w:sz w:val="24"/>
                <w:szCs w:val="24"/>
              </w:rPr>
            </w:pPr>
            <w:r>
              <w:rPr>
                <w:rFonts w:hint="eastAsia" w:ascii="宋体" w:hAnsi="宋体" w:cs="宋体"/>
                <w:kern w:val="0"/>
                <w:sz w:val="24"/>
                <w:szCs w:val="24"/>
              </w:rPr>
              <w:t>名称</w:t>
            </w:r>
          </w:p>
        </w:tc>
        <w:tc>
          <w:tcPr>
            <w:tcW w:w="977"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项目</w:t>
            </w:r>
          </w:p>
          <w:p>
            <w:pPr>
              <w:spacing w:line="300" w:lineRule="exact"/>
              <w:jc w:val="center"/>
              <w:rPr>
                <w:rFonts w:ascii="宋体" w:cs="Times New Roman"/>
                <w:kern w:val="0"/>
                <w:sz w:val="24"/>
                <w:szCs w:val="24"/>
              </w:rPr>
            </w:pPr>
            <w:r>
              <w:rPr>
                <w:rFonts w:hint="eastAsia" w:ascii="宋体" w:hAnsi="宋体" w:cs="宋体"/>
                <w:kern w:val="0"/>
                <w:sz w:val="24"/>
                <w:szCs w:val="24"/>
              </w:rPr>
              <w:t>名称</w:t>
            </w:r>
          </w:p>
        </w:tc>
        <w:tc>
          <w:tcPr>
            <w:tcW w:w="1682"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项目内容</w:t>
            </w:r>
          </w:p>
          <w:p>
            <w:pPr>
              <w:spacing w:line="300" w:lineRule="exact"/>
              <w:jc w:val="center"/>
              <w:rPr>
                <w:rFonts w:ascii="宋体" w:cs="Times New Roman"/>
                <w:kern w:val="0"/>
                <w:sz w:val="24"/>
                <w:szCs w:val="24"/>
              </w:rPr>
            </w:pPr>
            <w:r>
              <w:rPr>
                <w:rFonts w:hint="eastAsia" w:ascii="宋体" w:hAnsi="宋体" w:cs="宋体"/>
                <w:kern w:val="0"/>
                <w:sz w:val="24"/>
                <w:szCs w:val="24"/>
              </w:rPr>
              <w:t>（包括同类项目，产品名称、型号等）</w:t>
            </w:r>
          </w:p>
        </w:tc>
        <w:tc>
          <w:tcPr>
            <w:tcW w:w="1394"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合同有效</w:t>
            </w:r>
          </w:p>
          <w:p>
            <w:pPr>
              <w:spacing w:line="300" w:lineRule="exact"/>
              <w:jc w:val="center"/>
              <w:rPr>
                <w:rFonts w:ascii="宋体" w:cs="Times New Roman"/>
                <w:kern w:val="0"/>
                <w:sz w:val="24"/>
                <w:szCs w:val="24"/>
              </w:rPr>
            </w:pPr>
            <w:r>
              <w:rPr>
                <w:rFonts w:hint="eastAsia" w:ascii="宋体" w:hAnsi="宋体" w:cs="宋体"/>
                <w:kern w:val="0"/>
                <w:sz w:val="24"/>
                <w:szCs w:val="24"/>
              </w:rPr>
              <w:t>金额（万元）</w:t>
            </w:r>
          </w:p>
        </w:tc>
        <w:tc>
          <w:tcPr>
            <w:tcW w:w="1055"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签订</w:t>
            </w:r>
          </w:p>
          <w:p>
            <w:pPr>
              <w:spacing w:line="300" w:lineRule="exact"/>
              <w:jc w:val="center"/>
              <w:rPr>
                <w:rFonts w:ascii="宋体" w:cs="Times New Roman"/>
                <w:kern w:val="0"/>
                <w:sz w:val="24"/>
                <w:szCs w:val="24"/>
              </w:rPr>
            </w:pPr>
            <w:r>
              <w:rPr>
                <w:rFonts w:hint="eastAsia" w:ascii="宋体" w:hAnsi="宋体" w:cs="宋体"/>
                <w:kern w:val="0"/>
                <w:sz w:val="24"/>
                <w:szCs w:val="24"/>
              </w:rPr>
              <w:t>日期</w:t>
            </w:r>
          </w:p>
        </w:tc>
        <w:tc>
          <w:tcPr>
            <w:tcW w:w="1452"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用户联系人</w:t>
            </w:r>
          </w:p>
          <w:p>
            <w:pPr>
              <w:spacing w:line="300" w:lineRule="exact"/>
              <w:jc w:val="center"/>
              <w:rPr>
                <w:rFonts w:ascii="宋体" w:cs="Times New Roman"/>
                <w:kern w:val="0"/>
                <w:sz w:val="24"/>
                <w:szCs w:val="24"/>
              </w:rPr>
            </w:pPr>
            <w:r>
              <w:rPr>
                <w:rFonts w:hint="eastAsia" w:ascii="宋体" w:hAnsi="宋体" w:cs="宋体"/>
                <w:kern w:val="0"/>
                <w:sz w:val="24"/>
                <w:szCs w:val="24"/>
              </w:rPr>
              <w:t>及电话</w:t>
            </w:r>
          </w:p>
        </w:tc>
        <w:tc>
          <w:tcPr>
            <w:tcW w:w="937" w:type="dxa"/>
            <w:vAlign w:val="center"/>
          </w:tcPr>
          <w:p>
            <w:pPr>
              <w:spacing w:line="300" w:lineRule="exact"/>
              <w:jc w:val="center"/>
              <w:rPr>
                <w:rFonts w:ascii="宋体" w:cs="Times New Roman"/>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tcPr>
          <w:p>
            <w:pPr>
              <w:spacing w:line="300" w:lineRule="exact"/>
              <w:rPr>
                <w:rFonts w:ascii="宋体" w:cs="Times New Roman"/>
                <w:sz w:val="24"/>
                <w:szCs w:val="24"/>
              </w:rPr>
            </w:pPr>
          </w:p>
        </w:tc>
        <w:tc>
          <w:tcPr>
            <w:tcW w:w="840" w:type="dxa"/>
          </w:tcPr>
          <w:p>
            <w:pPr>
              <w:spacing w:line="300" w:lineRule="exact"/>
              <w:rPr>
                <w:rFonts w:ascii="宋体" w:cs="Times New Roman"/>
                <w:sz w:val="24"/>
                <w:szCs w:val="24"/>
              </w:rPr>
            </w:pPr>
          </w:p>
        </w:tc>
        <w:tc>
          <w:tcPr>
            <w:tcW w:w="977" w:type="dxa"/>
          </w:tcPr>
          <w:p>
            <w:pPr>
              <w:spacing w:line="300" w:lineRule="exact"/>
              <w:rPr>
                <w:rFonts w:ascii="宋体" w:cs="Times New Roman"/>
                <w:sz w:val="24"/>
                <w:szCs w:val="24"/>
              </w:rPr>
            </w:pPr>
          </w:p>
        </w:tc>
        <w:tc>
          <w:tcPr>
            <w:tcW w:w="1682" w:type="dxa"/>
          </w:tcPr>
          <w:p>
            <w:pPr>
              <w:spacing w:line="300" w:lineRule="exact"/>
              <w:rPr>
                <w:rFonts w:ascii="宋体" w:cs="Times New Roman"/>
                <w:sz w:val="24"/>
                <w:szCs w:val="24"/>
              </w:rPr>
            </w:pPr>
          </w:p>
        </w:tc>
        <w:tc>
          <w:tcPr>
            <w:tcW w:w="1394" w:type="dxa"/>
          </w:tcPr>
          <w:p>
            <w:pPr>
              <w:spacing w:line="300" w:lineRule="exact"/>
              <w:rPr>
                <w:rFonts w:ascii="宋体" w:cs="Times New Roman"/>
                <w:sz w:val="24"/>
                <w:szCs w:val="24"/>
              </w:rPr>
            </w:pPr>
          </w:p>
        </w:tc>
        <w:tc>
          <w:tcPr>
            <w:tcW w:w="1055" w:type="dxa"/>
          </w:tcPr>
          <w:p>
            <w:pPr>
              <w:spacing w:line="300" w:lineRule="exact"/>
              <w:rPr>
                <w:rFonts w:ascii="宋体" w:cs="Times New Roman"/>
                <w:sz w:val="24"/>
                <w:szCs w:val="24"/>
              </w:rPr>
            </w:pPr>
          </w:p>
        </w:tc>
        <w:tc>
          <w:tcPr>
            <w:tcW w:w="1452" w:type="dxa"/>
          </w:tcPr>
          <w:p>
            <w:pPr>
              <w:spacing w:line="300" w:lineRule="exact"/>
              <w:rPr>
                <w:rFonts w:ascii="宋体" w:cs="Times New Roman"/>
                <w:sz w:val="24"/>
                <w:szCs w:val="24"/>
              </w:rPr>
            </w:pPr>
          </w:p>
        </w:tc>
        <w:tc>
          <w:tcPr>
            <w:tcW w:w="937" w:type="dxa"/>
          </w:tcPr>
          <w:p>
            <w:pPr>
              <w:spacing w:line="30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4" w:type="dxa"/>
            <w:vAlign w:val="center"/>
          </w:tcPr>
          <w:p>
            <w:pPr>
              <w:spacing w:line="300" w:lineRule="exact"/>
              <w:jc w:val="center"/>
              <w:rPr>
                <w:rFonts w:ascii="宋体" w:cs="Times New Roman"/>
                <w:sz w:val="24"/>
                <w:szCs w:val="24"/>
              </w:rPr>
            </w:pPr>
            <w:r>
              <w:rPr>
                <w:rFonts w:hint="eastAsia" w:ascii="宋体" w:hAnsi="宋体" w:cs="宋体"/>
                <w:sz w:val="24"/>
                <w:szCs w:val="24"/>
              </w:rPr>
              <w:t>合计</w:t>
            </w:r>
          </w:p>
        </w:tc>
        <w:tc>
          <w:tcPr>
            <w:tcW w:w="840" w:type="dxa"/>
            <w:vAlign w:val="center"/>
          </w:tcPr>
          <w:p>
            <w:pPr>
              <w:spacing w:line="300" w:lineRule="exact"/>
              <w:jc w:val="center"/>
              <w:rPr>
                <w:rFonts w:ascii="宋体" w:cs="Times New Roman"/>
                <w:sz w:val="24"/>
                <w:szCs w:val="24"/>
              </w:rPr>
            </w:pPr>
          </w:p>
        </w:tc>
        <w:tc>
          <w:tcPr>
            <w:tcW w:w="977" w:type="dxa"/>
            <w:vAlign w:val="center"/>
          </w:tcPr>
          <w:p>
            <w:pPr>
              <w:spacing w:line="300" w:lineRule="exact"/>
              <w:jc w:val="center"/>
              <w:rPr>
                <w:rFonts w:ascii="宋体" w:cs="Times New Roman"/>
                <w:sz w:val="24"/>
                <w:szCs w:val="24"/>
              </w:rPr>
            </w:pPr>
          </w:p>
        </w:tc>
        <w:tc>
          <w:tcPr>
            <w:tcW w:w="1682" w:type="dxa"/>
            <w:vAlign w:val="center"/>
          </w:tcPr>
          <w:p>
            <w:pPr>
              <w:spacing w:line="300" w:lineRule="exact"/>
              <w:jc w:val="center"/>
              <w:rPr>
                <w:rFonts w:ascii="宋体" w:cs="Times New Roman"/>
                <w:sz w:val="24"/>
                <w:szCs w:val="24"/>
              </w:rPr>
            </w:pPr>
          </w:p>
        </w:tc>
        <w:tc>
          <w:tcPr>
            <w:tcW w:w="1394" w:type="dxa"/>
            <w:vAlign w:val="center"/>
          </w:tcPr>
          <w:p>
            <w:pPr>
              <w:spacing w:line="300" w:lineRule="exact"/>
              <w:jc w:val="center"/>
              <w:rPr>
                <w:rFonts w:ascii="宋体" w:cs="Times New Roman"/>
                <w:sz w:val="24"/>
                <w:szCs w:val="24"/>
              </w:rPr>
            </w:pPr>
          </w:p>
        </w:tc>
        <w:tc>
          <w:tcPr>
            <w:tcW w:w="1055" w:type="dxa"/>
            <w:vAlign w:val="center"/>
          </w:tcPr>
          <w:p>
            <w:pPr>
              <w:spacing w:line="300" w:lineRule="exact"/>
              <w:jc w:val="center"/>
              <w:rPr>
                <w:rFonts w:ascii="宋体" w:cs="Times New Roman"/>
                <w:sz w:val="24"/>
                <w:szCs w:val="24"/>
              </w:rPr>
            </w:pPr>
          </w:p>
        </w:tc>
        <w:tc>
          <w:tcPr>
            <w:tcW w:w="1452" w:type="dxa"/>
            <w:vAlign w:val="center"/>
          </w:tcPr>
          <w:p>
            <w:pPr>
              <w:spacing w:line="300" w:lineRule="exact"/>
              <w:jc w:val="center"/>
              <w:rPr>
                <w:rFonts w:ascii="宋体" w:cs="Times New Roman"/>
                <w:sz w:val="24"/>
                <w:szCs w:val="24"/>
              </w:rPr>
            </w:pPr>
          </w:p>
        </w:tc>
        <w:tc>
          <w:tcPr>
            <w:tcW w:w="937" w:type="dxa"/>
            <w:vAlign w:val="center"/>
          </w:tcPr>
          <w:p>
            <w:pPr>
              <w:spacing w:line="300" w:lineRule="exact"/>
              <w:jc w:val="center"/>
              <w:rPr>
                <w:rFonts w:ascii="宋体" w:cs="Times New Roman"/>
                <w:sz w:val="24"/>
                <w:szCs w:val="24"/>
              </w:rPr>
            </w:pPr>
          </w:p>
        </w:tc>
      </w:tr>
    </w:tbl>
    <w:p>
      <w:pPr>
        <w:ind w:left="31680" w:hanging="924" w:hangingChars="400"/>
        <w:rPr>
          <w:rFonts w:ascii="宋体" w:cs="Times New Roman"/>
          <w:kern w:val="0"/>
          <w:sz w:val="24"/>
          <w:szCs w:val="24"/>
        </w:rPr>
      </w:pPr>
      <w:r>
        <w:rPr>
          <w:rFonts w:hint="eastAsia" w:ascii="宋体" w:hAnsi="宋体" w:cs="宋体"/>
          <w:kern w:val="0"/>
          <w:sz w:val="24"/>
          <w:szCs w:val="24"/>
        </w:rPr>
        <w:t>备注：</w:t>
      </w:r>
      <w:r>
        <w:rPr>
          <w:rFonts w:ascii="宋体" w:hAnsi="宋体" w:cs="宋体"/>
          <w:kern w:val="0"/>
          <w:sz w:val="24"/>
          <w:szCs w:val="24"/>
        </w:rPr>
        <w:t>1.</w:t>
      </w:r>
      <w:r>
        <w:rPr>
          <w:rFonts w:hint="eastAsia" w:ascii="宋体" w:hAnsi="宋体" w:cs="宋体"/>
          <w:kern w:val="0"/>
          <w:sz w:val="24"/>
          <w:szCs w:val="24"/>
        </w:rPr>
        <w:t>同类项目指本次谈判的产品或同类产品。合同有效金额是指合同中本次谈判的产品或同类产品金额。</w:t>
      </w:r>
    </w:p>
    <w:p>
      <w:pPr>
        <w:ind w:left="918" w:leftChars="342" w:hanging="231" w:hangingChars="100"/>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报价方应附销售合同复印件，按合同有效金额由高到低顺序装订，包括：合同首尾页、签字盖章页、合同金额页、产品信息页。</w:t>
      </w:r>
    </w:p>
    <w:p>
      <w:pPr>
        <w:ind w:left="918" w:leftChars="342" w:hanging="231" w:hangingChars="100"/>
        <w:rPr>
          <w:rFonts w:ascii="宋体" w:cs="Times New Roman"/>
          <w:kern w:val="0"/>
          <w:sz w:val="28"/>
          <w:szCs w:val="28"/>
        </w:rPr>
      </w:pPr>
      <w:r>
        <w:rPr>
          <w:rFonts w:ascii="宋体" w:hAnsi="宋体" w:cs="宋体"/>
          <w:kern w:val="0"/>
          <w:sz w:val="24"/>
          <w:szCs w:val="24"/>
        </w:rPr>
        <w:t>3.</w:t>
      </w:r>
      <w:r>
        <w:rPr>
          <w:rFonts w:hint="eastAsia" w:ascii="宋体" w:hAnsi="宋体" w:cs="宋体"/>
          <w:kern w:val="0"/>
          <w:sz w:val="24"/>
          <w:szCs w:val="24"/>
        </w:rPr>
        <w:t>报价方提供虚假合同的，按虚假投标处理。</w:t>
      </w:r>
    </w:p>
    <w:p>
      <w:pPr>
        <w:jc w:val="both"/>
        <w:rPr>
          <w:rFonts w:ascii="Times New Roman" w:hAnsi="Times New Roman" w:cs="Times New Roman"/>
          <w:kern w:val="0"/>
          <w:sz w:val="28"/>
          <w:szCs w:val="28"/>
          <w:lang w:val="zh-CN"/>
        </w:rPr>
      </w:pPr>
    </w:p>
    <w:p>
      <w:pPr>
        <w:ind w:firstLine="1866" w:firstLineChars="6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报价方全称：（盖章）</w:t>
      </w:r>
    </w:p>
    <w:p>
      <w:pPr>
        <w:ind w:firstLine="1866" w:firstLineChars="600"/>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val="zh-CN"/>
        </w:rPr>
        <w:t>法定代表人（或授权代表）：（签字）</w:t>
      </w:r>
    </w:p>
    <w:p>
      <w:pPr>
        <w:ind w:firstLine="4354" w:firstLineChars="14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年月日</w:t>
      </w:r>
    </w:p>
    <w:p>
      <w:pPr>
        <w:rPr>
          <w:rFonts w:ascii="仿宋_GB2312" w:hAnsi="Times New Roman" w:eastAsia="仿宋_GB2312" w:cs="Times New Roman"/>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ascii="黑体" w:hAnsi="黑体" w:eastAsia="黑体" w:cs="黑体"/>
          <w:kern w:val="0"/>
          <w:sz w:val="32"/>
          <w:szCs w:val="32"/>
        </w:rPr>
        <w:t xml:space="preserve">                                </w:t>
      </w:r>
      <w:r>
        <w:rPr>
          <w:rFonts w:hint="eastAsia" w:ascii="仿宋_GB2312" w:hAnsi="Times New Roman" w:eastAsia="仿宋_GB2312" w:cs="仿宋_GB2312"/>
          <w:kern w:val="0"/>
          <w:sz w:val="32"/>
          <w:szCs w:val="32"/>
        </w:rPr>
        <w:t>保函编号：</w:t>
      </w:r>
    </w:p>
    <w:p>
      <w:pPr>
        <w:rPr>
          <w:rFonts w:ascii="Times New Roman" w:hAnsi="Times New Roman" w:eastAsia="黑体" w:cs="Times New Roman"/>
          <w:kern w:val="0"/>
          <w:sz w:val="24"/>
          <w:szCs w:val="24"/>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谈判保证金保函</w:t>
      </w:r>
    </w:p>
    <w:p>
      <w:pPr>
        <w:rPr>
          <w:rFonts w:ascii="Times New Roman" w:hAnsi="Times New Roman" w:cs="Times New Roman"/>
          <w:kern w:val="0"/>
          <w:sz w:val="24"/>
          <w:szCs w:val="24"/>
        </w:rPr>
      </w:pPr>
    </w:p>
    <w:p>
      <w:pPr>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（采购机构名称）：</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本函是</w:t>
      </w:r>
      <w:r>
        <w:rPr>
          <w:rFonts w:hint="eastAsia" w:ascii="仿宋_GB2312" w:hAnsi="Times New Roman" w:eastAsia="仿宋_GB2312" w:cs="仿宋_GB2312"/>
          <w:kern w:val="0"/>
          <w:sz w:val="32"/>
          <w:szCs w:val="32"/>
          <w:u w:val="single"/>
        </w:rPr>
        <w:t>（银行全称）</w:t>
      </w:r>
      <w:r>
        <w:rPr>
          <w:rFonts w:hint="eastAsia" w:ascii="仿宋_GB2312" w:hAnsi="Times New Roman" w:eastAsia="仿宋_GB2312" w:cs="仿宋_GB2312"/>
          <w:kern w:val="0"/>
          <w:sz w:val="32"/>
          <w:szCs w:val="32"/>
        </w:rPr>
        <w:t>为</w:t>
      </w:r>
      <w:r>
        <w:rPr>
          <w:rFonts w:hint="eastAsia" w:ascii="仿宋_GB2312" w:hAnsi="Times New Roman" w:eastAsia="仿宋_GB2312" w:cs="仿宋_GB2312"/>
          <w:kern w:val="0"/>
          <w:sz w:val="32"/>
          <w:szCs w:val="32"/>
          <w:u w:val="single"/>
        </w:rPr>
        <w:t>（报价方全称）</w:t>
      </w:r>
      <w:r>
        <w:rPr>
          <w:rFonts w:hint="eastAsia" w:ascii="仿宋_GB2312" w:hAnsi="Times New Roman" w:eastAsia="仿宋_GB2312" w:cs="仿宋_GB2312"/>
          <w:kern w:val="0"/>
          <w:sz w:val="32"/>
          <w:szCs w:val="32"/>
        </w:rPr>
        <w:t>参加贵部组织</w:t>
      </w:r>
      <w:r>
        <w:rPr>
          <w:rFonts w:hint="eastAsia" w:ascii="仿宋_GB2312" w:hAnsi="Times New Roman" w:eastAsia="仿宋_GB2312" w:cs="仿宋_GB2312"/>
          <w:kern w:val="0"/>
          <w:sz w:val="32"/>
          <w:szCs w:val="32"/>
          <w:u w:val="single"/>
        </w:rPr>
        <w:t>（项目编号）</w:t>
      </w:r>
      <w:r>
        <w:rPr>
          <w:rFonts w:hint="eastAsia" w:ascii="仿宋_GB2312" w:hAnsi="Times New Roman" w:eastAsia="仿宋_GB2312" w:cs="仿宋_GB2312"/>
          <w:kern w:val="0"/>
          <w:sz w:val="32"/>
          <w:szCs w:val="32"/>
        </w:rPr>
        <w:t>项目</w:t>
      </w:r>
      <w:r>
        <w:rPr>
          <w:rFonts w:hint="eastAsia" w:ascii="仿宋_GB2312" w:hAnsi="Times New Roman" w:eastAsia="仿宋_GB2312" w:cs="仿宋_GB2312"/>
          <w:kern w:val="0"/>
          <w:sz w:val="32"/>
          <w:szCs w:val="32"/>
          <w:u w:val="single"/>
        </w:rPr>
        <w:t>（项目名称）</w:t>
      </w:r>
      <w:r>
        <w:rPr>
          <w:rFonts w:hint="eastAsia" w:ascii="仿宋_GB2312" w:hAnsi="Times New Roman" w:eastAsia="仿宋_GB2312" w:cs="仿宋_GB2312"/>
          <w:kern w:val="0"/>
          <w:sz w:val="32"/>
          <w:szCs w:val="32"/>
        </w:rPr>
        <w:t>谈判采购所作的担保。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一、保证金额（大写）元（</w:t>
      </w:r>
      <w:r>
        <w:rPr>
          <w:rFonts w:ascii="仿宋_GB2312" w:hAnsi="Times New Roman" w:eastAsia="仿宋_GB2312" w:cs="Times New Roman"/>
          <w:spacing w:val="-4"/>
          <w:kern w:val="0"/>
          <w:sz w:val="32"/>
          <w:szCs w:val="32"/>
        </w:rPr>
        <w:t>¥</w:t>
      </w:r>
      <w:r>
        <w:rPr>
          <w:rFonts w:hint="eastAsia" w:ascii="仿宋_GB2312" w:hAnsi="Times New Roman" w:eastAsia="仿宋_GB2312" w:cs="仿宋_GB2312"/>
          <w:spacing w:val="-4"/>
          <w:kern w:val="0"/>
          <w:sz w:val="32"/>
          <w:szCs w:val="32"/>
        </w:rPr>
        <w:t>：</w:t>
      </w:r>
      <w:r>
        <w:rPr>
          <w:rFonts w:hint="eastAsia" w:ascii="仿宋_GB2312" w:hAnsi="Times New Roman" w:eastAsia="仿宋_GB2312" w:cs="仿宋_GB2312"/>
          <w:kern w:val="0"/>
          <w:sz w:val="32"/>
          <w:szCs w:val="32"/>
        </w:rPr>
        <w:t>）。</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二、在担保期内，我行收到贵部通知，说明报价方有下列情形之一的，无条件向贵部支付保证金。</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（一）报价方在报价文件有效期内撤回报价的；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（二）报价方虚假报价、串通报价的；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（三）报价方在收到《成交通知书》后，未按照规定签订合同的；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（四）报价方在谈判期间干扰采购活动造成严重影响和后果的；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（五）违反国家和军队有关法律法规的。</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三、本保函自谈判开始之日起生效，报价文件有效期内有效。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四、本保函有效期满后自动失效。</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银行名称：（盖章）</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银行地址：</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联系电话：</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开具人：（签字）</w:t>
      </w:r>
    </w:p>
    <w:p>
      <w:pPr>
        <w:spacing w:line="5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开具日期：</w:t>
      </w: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ascii="黑体" w:hAnsi="黑体" w:eastAsia="黑体" w:cs="黑体"/>
          <w:kern w:val="0"/>
          <w:sz w:val="32"/>
          <w:szCs w:val="32"/>
        </w:rPr>
        <w:t>1</w:t>
      </w:r>
      <w:r>
        <w:rPr>
          <w:rFonts w:hint="eastAsia" w:ascii="黑体" w:hAnsi="黑体" w:eastAsia="黑体" w:cs="黑体"/>
          <w:kern w:val="0"/>
          <w:sz w:val="32"/>
          <w:szCs w:val="32"/>
          <w:lang w:val="en-US" w:eastAsia="zh-CN"/>
        </w:rPr>
        <w:t>1</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u w:val="single"/>
        </w:rPr>
        <w:t>（法定代表人姓名）</w:t>
      </w:r>
      <w:r>
        <w:rPr>
          <w:rFonts w:hint="eastAsia" w:ascii="仿宋_GB2312" w:hAnsi="Times New Roman" w:eastAsia="仿宋_GB2312" w:cs="仿宋_GB2312"/>
          <w:sz w:val="32"/>
          <w:szCs w:val="32"/>
        </w:rPr>
        <w:t>系</w:t>
      </w:r>
      <w:r>
        <w:rPr>
          <w:rFonts w:hint="eastAsia" w:ascii="仿宋_GB2312" w:hAnsi="Times New Roman" w:eastAsia="仿宋_GB2312" w:cs="仿宋_GB2312"/>
          <w:sz w:val="32"/>
          <w:szCs w:val="32"/>
          <w:u w:val="single"/>
        </w:rPr>
        <w:t>（报价方全称）</w:t>
      </w:r>
      <w:r>
        <w:rPr>
          <w:rFonts w:hint="eastAsia" w:ascii="仿宋_GB2312" w:hAnsi="Times New Roman" w:eastAsia="仿宋_GB2312" w:cs="仿宋_GB2312"/>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特此证明</w:t>
      </w:r>
    </w:p>
    <w:p>
      <w:pPr>
        <w:rPr>
          <w:rFonts w:ascii="Times New Roman" w:hAnsi="Times New Roman" w:cs="Times New Roman"/>
          <w:sz w:val="28"/>
          <w:szCs w:val="28"/>
        </w:rPr>
      </w:pPr>
      <w:r>
        <mc:AlternateContent>
          <mc:Choice Requires="wps">
            <w:drawing>
              <wp:anchor distT="0" distB="0" distL="114300" distR="114300" simplePos="0" relativeHeight="251658240" behindDoc="0" locked="0" layoutInCell="1" allowOverlap="1">
                <wp:simplePos x="0" y="0"/>
                <wp:positionH relativeFrom="column">
                  <wp:posOffset>2862580</wp:posOffset>
                </wp:positionH>
                <wp:positionV relativeFrom="paragraph">
                  <wp:posOffset>121920</wp:posOffset>
                </wp:positionV>
                <wp:extent cx="2655570" cy="1319530"/>
                <wp:effectExtent l="4445" t="4445" r="6985" b="9525"/>
                <wp:wrapNone/>
                <wp:docPr id="1" name="文本框 2"/>
                <wp:cNvGraphicFramePr/>
                <a:graphic xmlns:a="http://schemas.openxmlformats.org/drawingml/2006/main">
                  <a:graphicData uri="http://schemas.microsoft.com/office/word/2010/wordprocessingShape">
                    <wps:wsp>
                      <wps:cNvSpPr txBox="1"/>
                      <wps:spPr>
                        <a:xfrm>
                          <a:off x="0" y="0"/>
                          <a:ext cx="2655570" cy="131953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wps:txbx>
                      <wps:bodyPr anchor="ctr" upright="1"/>
                    </wps:wsp>
                  </a:graphicData>
                </a:graphic>
              </wp:anchor>
            </w:drawing>
          </mc:Choice>
          <mc:Fallback>
            <w:pict>
              <v:shape id="文本框 2" o:spid="_x0000_s1026" o:spt="202" type="#_x0000_t202" style="position:absolute;left:0pt;margin-left:225.4pt;margin-top:9.6pt;height:103.9pt;width:209.1pt;z-index:251658240;v-text-anchor:middle;mso-width-relative:page;mso-height-relative:page;" fillcolor="#FFFFFF" filled="t" stroked="t" coordsize="21600,21600" o:gfxdata="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c4NS1gAAAAoBAAAPAAAAAAAAAAEAIAAAACIAAABkcnMvZG93bnJldi54&#10;bWxQSwECFAAUAAAACACHTuJAg6rrIvwBAAD1AwAADgAAAAAAAAABACAAAAAlAQAAZHJzL2Uyb0Rv&#10;Yy54bWxQSwUGAAAAAAYABgBZAQAAkwUAAAAA&#10;">
                <v:fill on="t" focussize="0,0"/>
                <v:stroke color="#000000" joinstyle="miter" dashstyle="dash"/>
                <v:imagedata o:title=""/>
                <o:lock v:ext="edit" aspectratio="f"/>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121920</wp:posOffset>
                </wp:positionV>
                <wp:extent cx="2623820" cy="1319530"/>
                <wp:effectExtent l="4445" t="4445" r="19685" b="9525"/>
                <wp:wrapNone/>
                <wp:docPr id="2" name="文本框 3"/>
                <wp:cNvGraphicFramePr/>
                <a:graphic xmlns:a="http://schemas.openxmlformats.org/drawingml/2006/main">
                  <a:graphicData uri="http://schemas.microsoft.com/office/word/2010/wordprocessingShape">
                    <wps:wsp>
                      <wps:cNvSpPr txBox="1"/>
                      <wps:spPr>
                        <a:xfrm>
                          <a:off x="0" y="0"/>
                          <a:ext cx="2623820" cy="131953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wps:txbx>
                      <wps:bodyPr anchor="ctr" upright="1"/>
                    </wps:wsp>
                  </a:graphicData>
                </a:graphic>
              </wp:anchor>
            </w:drawing>
          </mc:Choice>
          <mc:Fallback>
            <w:pict>
              <v:shape id="文本框 3" o:spid="_x0000_s1026" o:spt="202" type="#_x0000_t202" style="position:absolute;left:0pt;margin-left:2.1pt;margin-top:9.6pt;height:103.9pt;width:206.6pt;z-index:251659264;v-text-anchor:middle;mso-width-relative:page;mso-height-relative:page;" fillcolor="#FFFFFF" filled="t" stroked="t" coordsize="21600,21600" o:gfxdata="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qjhXXVAAAACAEAAA8AAAAAAAAAAQAgAAAAIgAAAGRycy9kb3ducmV2Lnht&#10;bFBLAQIUABQAAAAIAIdO4kCdczBf/AEAAPUDAAAOAAAAAAAAAAEAIAAAACQBAABkcnMvZTJvRG9j&#10;LnhtbFBLBQYAAAAABgAGAFkBAACSBQAAAAA=&#10;">
                <v:fill on="t" focussize="0,0"/>
                <v:stroke color="#000000" joinstyle="miter" dashstyle="dash"/>
                <v:imagedata o:title=""/>
                <o:lock v:ext="edit" aspectratio="f"/>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法定代表人身份证复印件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v:textbox>
              </v:shape>
            </w:pict>
          </mc:Fallback>
        </mc:AlternateConten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ind w:firstLine="4743" w:firstLineChars="1750"/>
        <w:rPr>
          <w:rFonts w:ascii="Times New Roman" w:hAnsi="Times New Roman" w:cs="Times New Roman"/>
          <w:sz w:val="28"/>
          <w:szCs w:val="28"/>
        </w:rPr>
      </w:pPr>
    </w:p>
    <w:p>
      <w:pPr>
        <w:rPr>
          <w:rFonts w:ascii="Times New Roman" w:hAnsi="Times New Roman" w:cs="Times New Roman"/>
          <w:kern w:val="0"/>
          <w:sz w:val="28"/>
          <w:szCs w:val="28"/>
        </w:rPr>
      </w:pPr>
    </w:p>
    <w:p>
      <w:pPr>
        <w:rPr>
          <w:rFonts w:ascii="Times New Roman" w:hAnsi="Times New Roman"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报价方全称：（盖章）</w:t>
      </w:r>
    </w:p>
    <w:p>
      <w:pPr>
        <w:ind w:firstLine="4420" w:firstLineChars="1421"/>
        <w:rPr>
          <w:rFonts w:ascii="黑体" w:hAnsi="黑体" w:eastAsia="黑体" w:cs="Times New Roman"/>
          <w:kern w:val="0"/>
          <w:sz w:val="28"/>
          <w:szCs w:val="28"/>
        </w:rPr>
      </w:pPr>
      <w:r>
        <w:rPr>
          <w:rFonts w:hint="eastAsia" w:ascii="仿宋_GB2312" w:hAnsi="Times New Roman" w:eastAsia="仿宋_GB2312" w:cs="仿宋_GB2312"/>
          <w:kern w:val="0"/>
          <w:sz w:val="32"/>
          <w:szCs w:val="32"/>
        </w:rPr>
        <w:t>年月日</w:t>
      </w:r>
    </w:p>
    <w:p>
      <w:pPr>
        <w:rPr>
          <w:rFonts w:hint="eastAsia" w:ascii="黑体" w:hAnsi="黑体" w:eastAsia="黑体" w:cs="黑体"/>
          <w:kern w:val="0"/>
          <w:sz w:val="32"/>
          <w:szCs w:val="32"/>
        </w:rPr>
      </w:pPr>
    </w:p>
    <w:p>
      <w:pPr>
        <w:rPr>
          <w:rFonts w:hint="eastAsia" w:ascii="黑体" w:hAnsi="黑体" w:eastAsia="黑体" w:cs="黑体"/>
          <w:kern w:val="0"/>
          <w:sz w:val="32"/>
          <w:szCs w:val="32"/>
        </w:rPr>
      </w:pPr>
    </w:p>
    <w:p>
      <w:pPr>
        <w:rPr>
          <w:rFonts w:hint="eastAsia" w:ascii="黑体" w:hAnsi="黑体" w:eastAsia="黑体" w:cs="黑体"/>
          <w:kern w:val="0"/>
          <w:sz w:val="32"/>
          <w:szCs w:val="32"/>
        </w:rPr>
      </w:pPr>
    </w:p>
    <w:p>
      <w:pPr>
        <w:rPr>
          <w:rFonts w:hint="eastAsia" w:ascii="黑体" w:hAnsi="黑体" w:eastAsia="黑体" w:cs="黑体"/>
          <w:kern w:val="0"/>
          <w:sz w:val="32"/>
          <w:szCs w:val="32"/>
        </w:rPr>
      </w:pP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ascii="黑体" w:hAnsi="黑体" w:eastAsia="黑体" w:cs="黑体"/>
          <w:kern w:val="0"/>
          <w:sz w:val="32"/>
          <w:szCs w:val="32"/>
        </w:rPr>
        <w:t>1</w:t>
      </w:r>
      <w:r>
        <w:rPr>
          <w:rFonts w:hint="eastAsia" w:ascii="黑体" w:hAnsi="黑体" w:eastAsia="黑体" w:cs="黑体"/>
          <w:kern w:val="0"/>
          <w:sz w:val="32"/>
          <w:szCs w:val="32"/>
          <w:lang w:val="en-US" w:eastAsia="zh-CN"/>
        </w:rPr>
        <w:t>2</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法定代表人授权书</w:t>
      </w:r>
    </w:p>
    <w:p>
      <w:pPr>
        <w:rPr>
          <w:rFonts w:ascii="Times New Roman" w:hAnsi="Times New Roman"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（采购机构名称）：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u w:val="single"/>
        </w:rPr>
        <w:t>（报价方全称）</w:t>
      </w:r>
      <w:r>
        <w:rPr>
          <w:rFonts w:hint="eastAsia" w:ascii="仿宋_GB2312" w:hAnsi="宋体" w:eastAsia="仿宋_GB2312" w:cs="仿宋_GB2312"/>
          <w:kern w:val="0"/>
          <w:sz w:val="32"/>
          <w:szCs w:val="32"/>
        </w:rPr>
        <w:t>法定代表人</w:t>
      </w:r>
      <w:r>
        <w:rPr>
          <w:rFonts w:hint="eastAsia" w:ascii="仿宋_GB2312" w:hAnsi="宋体" w:eastAsia="仿宋_GB2312" w:cs="仿宋_GB2312"/>
          <w:kern w:val="0"/>
          <w:sz w:val="32"/>
          <w:szCs w:val="32"/>
          <w:u w:val="single"/>
        </w:rPr>
        <w:t>（姓名、职务）</w:t>
      </w:r>
      <w:r>
        <w:rPr>
          <w:rFonts w:hint="eastAsia" w:ascii="仿宋_GB2312" w:hAnsi="宋体" w:eastAsia="仿宋_GB2312" w:cs="仿宋_GB2312"/>
          <w:kern w:val="0"/>
          <w:sz w:val="32"/>
          <w:szCs w:val="32"/>
        </w:rPr>
        <w:t>授权</w:t>
      </w:r>
      <w:r>
        <w:rPr>
          <w:rFonts w:hint="eastAsia" w:ascii="仿宋_GB2312" w:hAnsi="宋体" w:eastAsia="仿宋_GB2312" w:cs="仿宋_GB2312"/>
          <w:kern w:val="0"/>
          <w:sz w:val="32"/>
          <w:szCs w:val="32"/>
          <w:u w:val="single"/>
        </w:rPr>
        <w:t>（授权代表姓名、职务）</w:t>
      </w:r>
      <w:r>
        <w:rPr>
          <w:rFonts w:hint="eastAsia" w:ascii="仿宋_GB2312" w:hAnsi="宋体" w:eastAsia="仿宋_GB2312" w:cs="仿宋_GB2312"/>
          <w:kern w:val="0"/>
          <w:sz w:val="32"/>
          <w:szCs w:val="32"/>
        </w:rPr>
        <w:t>为全权代表，参加贵部组织的项目编号为</w:t>
      </w:r>
      <w:r>
        <w:rPr>
          <w:rFonts w:hint="eastAsia" w:ascii="仿宋_GB2312" w:hAnsi="宋体" w:eastAsia="仿宋_GB2312" w:cs="仿宋_GB2312"/>
          <w:kern w:val="0"/>
          <w:sz w:val="32"/>
          <w:szCs w:val="32"/>
          <w:u w:val="single"/>
        </w:rPr>
        <w:t>（项目编号）</w:t>
      </w:r>
      <w:r>
        <w:rPr>
          <w:rFonts w:hint="eastAsia" w:ascii="仿宋_GB2312" w:hAnsi="宋体" w:eastAsia="仿宋_GB2312" w:cs="仿宋_GB2312"/>
          <w:kern w:val="0"/>
          <w:sz w:val="32"/>
          <w:szCs w:val="32"/>
        </w:rPr>
        <w:t>的</w:t>
      </w:r>
      <w:r>
        <w:rPr>
          <w:rFonts w:hint="eastAsia" w:ascii="仿宋_GB2312" w:hAnsi="宋体" w:eastAsia="仿宋_GB2312" w:cs="仿宋_GB2312"/>
          <w:kern w:val="0"/>
          <w:sz w:val="32"/>
          <w:szCs w:val="32"/>
          <w:u w:val="single"/>
        </w:rPr>
        <w:t>（项目名称）</w:t>
      </w:r>
      <w:r>
        <w:rPr>
          <w:rFonts w:hint="eastAsia" w:ascii="仿宋_GB2312" w:hAnsi="宋体" w:eastAsia="仿宋_GB2312" w:cs="仿宋_GB2312"/>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报价方全称：（盖章）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年月日</w:t>
      </w:r>
    </w:p>
    <w:p>
      <w:pPr>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授权代表姓名：身份证号码：</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职务：电话：</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传真：邮编：</w:t>
      </w:r>
    </w:p>
    <w:p>
      <w:pPr>
        <w:ind w:firstLine="573"/>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通讯地址：</w:t>
      </w:r>
    </w:p>
    <w:p>
      <w:pPr>
        <w:spacing w:line="560" w:lineRule="exact"/>
        <w:ind w:firstLine="573"/>
        <w:rPr>
          <w:rFonts w:ascii="Times New Roman" w:hAnsi="Times New Roman" w:cs="Times New Roman"/>
          <w:kern w:val="0"/>
          <w:sz w:val="24"/>
          <w:szCs w:val="24"/>
        </w:rPr>
      </w:pPr>
      <w:r>
        <mc:AlternateContent>
          <mc:Choice Requires="wps">
            <w:drawing>
              <wp:anchor distT="0" distB="0" distL="114300" distR="114300" simplePos="0" relativeHeight="251660288" behindDoc="0" locked="0" layoutInCell="1" allowOverlap="1">
                <wp:simplePos x="0" y="0"/>
                <wp:positionH relativeFrom="column">
                  <wp:posOffset>2889250</wp:posOffset>
                </wp:positionH>
                <wp:positionV relativeFrom="paragraph">
                  <wp:posOffset>175260</wp:posOffset>
                </wp:positionV>
                <wp:extent cx="2679065" cy="1345565"/>
                <wp:effectExtent l="4445" t="4445" r="21590" b="21590"/>
                <wp:wrapNone/>
                <wp:docPr id="3" name="文本框 4"/>
                <wp:cNvGraphicFramePr/>
                <a:graphic xmlns:a="http://schemas.openxmlformats.org/drawingml/2006/main">
                  <a:graphicData uri="http://schemas.microsoft.com/office/word/2010/wordprocessingShape">
                    <wps:wsp>
                      <wps:cNvSpPr txBox="1"/>
                      <wps:spPr>
                        <a:xfrm>
                          <a:off x="0" y="0"/>
                          <a:ext cx="2679065" cy="13455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wps:txbx>
                      <wps:bodyPr anchor="ctr" upright="1"/>
                    </wps:wsp>
                  </a:graphicData>
                </a:graphic>
              </wp:anchor>
            </w:drawing>
          </mc:Choice>
          <mc:Fallback>
            <w:pict>
              <v:shape id="文本框 4" o:spid="_x0000_s1026" o:spt="202" type="#_x0000_t202" style="position:absolute;left:0pt;margin-left:227.5pt;margin-top:13.8pt;height:105.95pt;width:210.95pt;z-index:251660288;v-text-anchor:middle;mso-width-relative:page;mso-height-relative:page;" fillcolor="#FFFFFF" filled="t" stroked="t" coordsize="21600,21600" o:gfxdata="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HupQ2AAAAAoBAAAPAAAAAAAAAAEAIAAAACIAAABkcnMvZG93bnJldi54&#10;bWxQSwECFAAUAAAACACHTuJADqA88/oBAAD1AwAADgAAAAAAAAABACAAAAAnAQAAZHJzL2Uyb0Rv&#10;Yy54bWxQSwUGAAAAAAYABgBZAQAAkwUAAAAA&#10;">
                <v:fill on="t" focussize="0,0"/>
                <v:stroke color="#000000" joinstyle="miter" dashstyle="dash"/>
                <v:imagedata o:title=""/>
                <o:lock v:ext="edit" aspectratio="f"/>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（反面）</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188595</wp:posOffset>
                </wp:positionV>
                <wp:extent cx="2687320" cy="1328420"/>
                <wp:effectExtent l="4445" t="4445" r="13335" b="19685"/>
                <wp:wrapNone/>
                <wp:docPr id="4" name="文本框 5"/>
                <wp:cNvGraphicFramePr/>
                <a:graphic xmlns:a="http://schemas.openxmlformats.org/drawingml/2006/main">
                  <a:graphicData uri="http://schemas.microsoft.com/office/word/2010/wordprocessingShape">
                    <wps:wsp>
                      <wps:cNvSpPr txBox="1"/>
                      <wps:spPr>
                        <a:xfrm>
                          <a:off x="0" y="0"/>
                          <a:ext cx="2687320" cy="132842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wps:txbx>
                      <wps:bodyPr anchor="ctr" upright="1"/>
                    </wps:wsp>
                  </a:graphicData>
                </a:graphic>
              </wp:anchor>
            </w:drawing>
          </mc:Choice>
          <mc:Fallback>
            <w:pict>
              <v:shape id="文本框 5" o:spid="_x0000_s1026" o:spt="202" type="#_x0000_t202" style="position:absolute;left:0pt;margin-left:-3.1pt;margin-top:14.85pt;height:104.6pt;width:211.6pt;z-index:251661312;v-text-anchor:middle;mso-width-relative:page;mso-height-relative:page;" fillcolor="#FFFFFF" filled="t" stroked="t" coordsize="21600,21600" o:gfxdata="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bNbNYAAAAJAQAADwAAAAAAAAABACAAAAAiAAAAZHJzL2Rvd25yZXYueG1s&#10;UEsBAhQAFAAAAAgAh07iQFTKNBP6AQAA9QMAAA4AAAAAAAAAAQAgAAAAJQEAAGRycy9lMm9Eb2Mu&#10;eG1sUEsFBgAAAAAGAAYAWQEAAJEFAAAAAA==&#10;">
                <v:fill on="t" focussize="0,0"/>
                <v:stroke color="#000000" joinstyle="miter" dashstyle="dash"/>
                <v:imagedata o:title=""/>
                <o:lock v:ext="edit" aspectratio="f"/>
                <v:textbox>
                  <w:txbxContent>
                    <w:p>
                      <w:pPr>
                        <w:jc w:val="center"/>
                        <w:rPr>
                          <w:rFonts w:ascii="仿宋_GB2312" w:hAnsi="宋体" w:eastAsia="仿宋_GB2312" w:cs="Times New Roman"/>
                          <w:sz w:val="32"/>
                          <w:szCs w:val="32"/>
                        </w:rPr>
                      </w:pPr>
                      <w:r>
                        <w:rPr>
                          <w:rFonts w:hint="eastAsia" w:ascii="仿宋_GB2312" w:hAnsi="宋体" w:eastAsia="仿宋_GB2312" w:cs="仿宋_GB2312"/>
                          <w:sz w:val="32"/>
                          <w:szCs w:val="32"/>
                        </w:rPr>
                        <w:t>授权代表身份证复印件</w:t>
                      </w:r>
                    </w:p>
                    <w:p>
                      <w:pPr>
                        <w:jc w:val="center"/>
                        <w:rPr>
                          <w:rFonts w:ascii="仿宋_GB2312" w:eastAsia="仿宋_GB2312" w:cs="Times New Roman"/>
                          <w:sz w:val="32"/>
                          <w:szCs w:val="32"/>
                        </w:rPr>
                      </w:pPr>
                      <w:r>
                        <w:rPr>
                          <w:rFonts w:hint="eastAsia" w:ascii="仿宋_GB2312" w:hAnsi="宋体" w:eastAsia="仿宋_GB2312" w:cs="仿宋_GB2312"/>
                          <w:sz w:val="32"/>
                          <w:szCs w:val="32"/>
                        </w:rPr>
                        <w:t>（正面）</w:t>
                      </w:r>
                    </w:p>
                  </w:txbxContent>
                </v:textbox>
              </v:shape>
            </w:pict>
          </mc:Fallback>
        </mc:AlternateContent>
      </w:r>
    </w:p>
    <w:p>
      <w:pPr>
        <w:spacing w:line="560" w:lineRule="exact"/>
        <w:ind w:firstLine="573"/>
        <w:rPr>
          <w:rFonts w:ascii="Times New Roman" w:hAnsi="Times New Roman" w:cs="Times New Roman"/>
          <w:kern w:val="0"/>
          <w:sz w:val="24"/>
          <w:szCs w:val="24"/>
        </w:rPr>
      </w:pPr>
    </w:p>
    <w:p>
      <w:pPr>
        <w:rPr>
          <w:rFonts w:hint="eastAsia" w:ascii="黑体" w:hAnsi="黑体" w:eastAsia="黑体" w:cs="黑体"/>
          <w:kern w:val="0"/>
          <w:sz w:val="32"/>
          <w:szCs w:val="32"/>
          <w:lang w:val="en-US" w:eastAsia="zh-CN"/>
        </w:rPr>
      </w:pPr>
      <w:r>
        <w:rPr>
          <w:rFonts w:ascii="Times New Roman" w:hAnsi="Times New Roman" w:eastAsia="黑体" w:cs="Times New Roman"/>
          <w:kern w:val="0"/>
          <w:sz w:val="28"/>
          <w:szCs w:val="28"/>
        </w:rPr>
        <w:br w:type="page"/>
      </w:r>
      <w:r>
        <w:rPr>
          <w:rFonts w:hint="eastAsia" w:ascii="黑体" w:hAnsi="黑体" w:eastAsia="黑体" w:cs="黑体"/>
          <w:kern w:val="0"/>
          <w:sz w:val="32"/>
          <w:szCs w:val="32"/>
        </w:rPr>
        <w:t>※附件</w:t>
      </w:r>
      <w:r>
        <w:rPr>
          <w:rFonts w:ascii="黑体" w:hAnsi="黑体" w:eastAsia="黑体" w:cs="黑体"/>
          <w:kern w:val="0"/>
          <w:sz w:val="32"/>
          <w:szCs w:val="32"/>
        </w:rPr>
        <w:t>1</w:t>
      </w:r>
      <w:r>
        <w:rPr>
          <w:rFonts w:hint="eastAsia" w:ascii="黑体" w:hAnsi="黑体" w:eastAsia="黑体" w:cs="黑体"/>
          <w:kern w:val="0"/>
          <w:sz w:val="32"/>
          <w:szCs w:val="32"/>
          <w:lang w:val="en-US" w:eastAsia="zh-CN"/>
        </w:rPr>
        <w:t>3</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报价方基本情况表</w:t>
      </w:r>
    </w:p>
    <w:tbl>
      <w:tblPr>
        <w:tblStyle w:val="1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055"/>
        <w:gridCol w:w="710"/>
        <w:gridCol w:w="359"/>
        <w:gridCol w:w="533"/>
        <w:gridCol w:w="534"/>
        <w:gridCol w:w="356"/>
        <w:gridCol w:w="715"/>
        <w:gridCol w:w="178"/>
        <w:gridCol w:w="710"/>
        <w:gridCol w:w="715"/>
        <w:gridCol w:w="17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报价方全称</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详细地址</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主管部门</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法定代表人</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职务</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企业性质</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授权代表</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职务</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邮政编码</w:t>
            </w:r>
          </w:p>
        </w:tc>
        <w:tc>
          <w:tcPr>
            <w:tcW w:w="1765" w:type="dxa"/>
            <w:gridSpan w:val="2"/>
            <w:vAlign w:val="center"/>
          </w:tcPr>
          <w:p>
            <w:pPr>
              <w:spacing w:line="300" w:lineRule="exact"/>
              <w:jc w:val="center"/>
              <w:rPr>
                <w:rFonts w:ascii="Times New Roman" w:hAnsi="Times New Roman" w:cs="Times New Roman"/>
                <w:kern w:val="0"/>
              </w:rPr>
            </w:pPr>
          </w:p>
        </w:tc>
        <w:tc>
          <w:tcPr>
            <w:tcW w:w="1426"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电话</w:t>
            </w:r>
          </w:p>
        </w:tc>
        <w:tc>
          <w:tcPr>
            <w:tcW w:w="1959" w:type="dxa"/>
            <w:gridSpan w:val="4"/>
            <w:vAlign w:val="center"/>
          </w:tcPr>
          <w:p>
            <w:pPr>
              <w:spacing w:line="300" w:lineRule="exact"/>
              <w:jc w:val="center"/>
              <w:rPr>
                <w:rFonts w:ascii="Times New Roman" w:hAnsi="Times New Roman" w:cs="Times New Roman"/>
                <w:kern w:val="0"/>
              </w:rPr>
            </w:pPr>
          </w:p>
        </w:tc>
        <w:tc>
          <w:tcPr>
            <w:tcW w:w="893"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传真</w:t>
            </w:r>
          </w:p>
        </w:tc>
        <w:tc>
          <w:tcPr>
            <w:tcW w:w="1522" w:type="dxa"/>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单位简介</w:t>
            </w:r>
          </w:p>
          <w:p>
            <w:pPr>
              <w:spacing w:line="300" w:lineRule="exact"/>
              <w:jc w:val="center"/>
              <w:rPr>
                <w:rFonts w:ascii="Times New Roman" w:hAnsi="Times New Roman" w:cs="Times New Roman"/>
                <w:kern w:val="0"/>
              </w:rPr>
            </w:pPr>
            <w:r>
              <w:rPr>
                <w:rFonts w:hint="eastAsia" w:ascii="Times New Roman" w:hAnsi="Times New Roman" w:cs="宋体"/>
                <w:kern w:val="0"/>
              </w:rPr>
              <w:t>及机构</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496"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单位优势</w:t>
            </w:r>
          </w:p>
          <w:p>
            <w:pPr>
              <w:spacing w:line="300" w:lineRule="exact"/>
              <w:jc w:val="center"/>
              <w:rPr>
                <w:rFonts w:ascii="Times New Roman" w:hAnsi="Times New Roman" w:cs="Times New Roman"/>
                <w:kern w:val="0"/>
              </w:rPr>
            </w:pPr>
            <w:r>
              <w:rPr>
                <w:rFonts w:hint="eastAsia" w:ascii="Times New Roman" w:hAnsi="Times New Roman" w:cs="宋体"/>
                <w:kern w:val="0"/>
              </w:rPr>
              <w:t>及特长</w:t>
            </w:r>
          </w:p>
        </w:tc>
        <w:tc>
          <w:tcPr>
            <w:tcW w:w="7565" w:type="dxa"/>
            <w:gridSpan w:val="1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单</w:t>
            </w:r>
          </w:p>
          <w:p>
            <w:pPr>
              <w:spacing w:line="300" w:lineRule="exact"/>
              <w:jc w:val="center"/>
              <w:rPr>
                <w:rFonts w:ascii="Times New Roman" w:hAnsi="Times New Roman" w:cs="Times New Roman"/>
                <w:kern w:val="0"/>
              </w:rPr>
            </w:pPr>
            <w:r>
              <w:rPr>
                <w:rFonts w:hint="eastAsia" w:ascii="Times New Roman" w:hAnsi="Times New Roman" w:cs="宋体"/>
                <w:kern w:val="0"/>
              </w:rPr>
              <w:t>位</w:t>
            </w:r>
          </w:p>
          <w:p>
            <w:pPr>
              <w:spacing w:line="300" w:lineRule="exact"/>
              <w:jc w:val="center"/>
              <w:rPr>
                <w:rFonts w:ascii="Times New Roman" w:hAnsi="Times New Roman" w:cs="Times New Roman"/>
                <w:kern w:val="0"/>
              </w:rPr>
            </w:pPr>
            <w:r>
              <w:rPr>
                <w:rFonts w:hint="eastAsia" w:ascii="Times New Roman" w:hAnsi="Times New Roman" w:cs="宋体"/>
                <w:kern w:val="0"/>
              </w:rPr>
              <w:t>概</w:t>
            </w:r>
          </w:p>
          <w:p>
            <w:pPr>
              <w:spacing w:line="300" w:lineRule="exact"/>
              <w:jc w:val="center"/>
              <w:rPr>
                <w:rFonts w:ascii="Times New Roman" w:hAnsi="Times New Roman" w:cs="Times New Roman"/>
                <w:kern w:val="0"/>
              </w:rPr>
            </w:pPr>
            <w:r>
              <w:rPr>
                <w:rFonts w:hint="eastAsia" w:ascii="Times New Roman" w:hAnsi="Times New Roman" w:cs="宋体"/>
                <w:kern w:val="0"/>
              </w:rPr>
              <w:t>况</w:t>
            </w: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职工</w:t>
            </w:r>
          </w:p>
          <w:p>
            <w:pPr>
              <w:spacing w:line="300" w:lineRule="exact"/>
              <w:jc w:val="center"/>
              <w:rPr>
                <w:rFonts w:ascii="Times New Roman" w:hAnsi="Times New Roman" w:cs="Times New Roman"/>
                <w:kern w:val="0"/>
              </w:rPr>
            </w:pPr>
            <w:r>
              <w:rPr>
                <w:rFonts w:hint="eastAsia" w:ascii="Times New Roman" w:hAnsi="Times New Roman" w:cs="宋体"/>
                <w:kern w:val="0"/>
              </w:rPr>
              <w:t>总数</w:t>
            </w:r>
          </w:p>
        </w:tc>
        <w:tc>
          <w:tcPr>
            <w:tcW w:w="2492" w:type="dxa"/>
            <w:gridSpan w:val="5"/>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人</w:t>
            </w:r>
          </w:p>
        </w:tc>
        <w:tc>
          <w:tcPr>
            <w:tcW w:w="4018" w:type="dxa"/>
            <w:gridSpan w:val="6"/>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生产工人人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Merge w:val="continue"/>
            <w:vAlign w:val="center"/>
          </w:tcPr>
          <w:p>
            <w:pPr>
              <w:widowControl/>
              <w:spacing w:line="300" w:lineRule="exact"/>
              <w:jc w:val="center"/>
              <w:rPr>
                <w:rFonts w:ascii="Times New Roman" w:hAnsi="Times New Roman" w:cs="Times New Roman"/>
                <w:kern w:val="0"/>
              </w:rPr>
            </w:pPr>
          </w:p>
        </w:tc>
        <w:tc>
          <w:tcPr>
            <w:tcW w:w="4018" w:type="dxa"/>
            <w:gridSpan w:val="6"/>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工程技术人员人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流动</w:t>
            </w:r>
          </w:p>
          <w:p>
            <w:pPr>
              <w:spacing w:line="300" w:lineRule="exact"/>
              <w:jc w:val="center"/>
              <w:rPr>
                <w:rFonts w:ascii="Times New Roman" w:hAnsi="Times New Roman" w:cs="Times New Roman"/>
                <w:kern w:val="0"/>
              </w:rPr>
            </w:pPr>
            <w:r>
              <w:rPr>
                <w:rFonts w:hint="eastAsia" w:ascii="Times New Roman" w:hAnsi="Times New Roman" w:cs="宋体"/>
                <w:kern w:val="0"/>
              </w:rPr>
              <w:t>资金</w:t>
            </w:r>
          </w:p>
        </w:tc>
        <w:tc>
          <w:tcPr>
            <w:tcW w:w="2492" w:type="dxa"/>
            <w:gridSpan w:val="5"/>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c>
          <w:tcPr>
            <w:tcW w:w="893" w:type="dxa"/>
            <w:gridSpan w:val="2"/>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资金来源</w:t>
            </w: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自有资金</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Merge w:val="continue"/>
            <w:vAlign w:val="center"/>
          </w:tcPr>
          <w:p>
            <w:pPr>
              <w:widowControl/>
              <w:spacing w:line="300" w:lineRule="exact"/>
              <w:jc w:val="center"/>
              <w:rPr>
                <w:rFonts w:ascii="Times New Roman" w:hAnsi="Times New Roman" w:cs="Times New Roman"/>
                <w:kern w:val="0"/>
              </w:rPr>
            </w:pPr>
          </w:p>
        </w:tc>
        <w:tc>
          <w:tcPr>
            <w:tcW w:w="893" w:type="dxa"/>
            <w:gridSpan w:val="2"/>
            <w:vMerge w:val="continue"/>
            <w:vAlign w:val="center"/>
          </w:tcPr>
          <w:p>
            <w:pPr>
              <w:widowControl/>
              <w:spacing w:line="300" w:lineRule="exact"/>
              <w:jc w:val="center"/>
              <w:rPr>
                <w:rFonts w:ascii="Times New Roman" w:hAnsi="Times New Roman" w:cs="Times New Roman"/>
                <w:kern w:val="0"/>
              </w:rPr>
            </w:pP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银行贷款</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固定</w:t>
            </w:r>
          </w:p>
          <w:p>
            <w:pPr>
              <w:spacing w:line="300" w:lineRule="exact"/>
              <w:jc w:val="center"/>
              <w:rPr>
                <w:rFonts w:ascii="Times New Roman" w:hAnsi="Times New Roman" w:cs="Times New Roman"/>
                <w:kern w:val="0"/>
              </w:rPr>
            </w:pPr>
            <w:r>
              <w:rPr>
                <w:rFonts w:hint="eastAsia" w:ascii="Times New Roman" w:hAnsi="Times New Roman" w:cs="宋体"/>
                <w:kern w:val="0"/>
              </w:rPr>
              <w:t>资产</w:t>
            </w:r>
          </w:p>
        </w:tc>
        <w:tc>
          <w:tcPr>
            <w:tcW w:w="2492" w:type="dxa"/>
            <w:gridSpan w:val="5"/>
            <w:vAlign w:val="center"/>
          </w:tcPr>
          <w:p>
            <w:pPr>
              <w:spacing w:line="300" w:lineRule="exact"/>
              <w:rPr>
                <w:rFonts w:ascii="Times New Roman" w:hAnsi="Times New Roman" w:cs="Times New Roman"/>
                <w:kern w:val="0"/>
              </w:rPr>
            </w:pPr>
            <w:r>
              <w:rPr>
                <w:rFonts w:hint="eastAsia" w:ascii="Times New Roman" w:hAnsi="Times New Roman" w:cs="宋体"/>
                <w:kern w:val="0"/>
              </w:rPr>
              <w:t>原值万元</w:t>
            </w:r>
          </w:p>
        </w:tc>
        <w:tc>
          <w:tcPr>
            <w:tcW w:w="893" w:type="dxa"/>
            <w:gridSpan w:val="2"/>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资金性质</w:t>
            </w: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生产性</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Merge w:val="continue"/>
            <w:vAlign w:val="center"/>
          </w:tcPr>
          <w:p>
            <w:pPr>
              <w:widowControl/>
              <w:spacing w:line="300" w:lineRule="exact"/>
              <w:jc w:val="center"/>
              <w:rPr>
                <w:rFonts w:ascii="Times New Roman" w:hAnsi="Times New Roman" w:cs="Times New Roman"/>
                <w:kern w:val="0"/>
              </w:rPr>
            </w:pPr>
          </w:p>
        </w:tc>
        <w:tc>
          <w:tcPr>
            <w:tcW w:w="2492" w:type="dxa"/>
            <w:gridSpan w:val="5"/>
            <w:vAlign w:val="center"/>
          </w:tcPr>
          <w:p>
            <w:pPr>
              <w:spacing w:line="300" w:lineRule="exact"/>
              <w:rPr>
                <w:rFonts w:ascii="Times New Roman" w:hAnsi="Times New Roman" w:cs="Times New Roman"/>
                <w:kern w:val="0"/>
              </w:rPr>
            </w:pPr>
            <w:r>
              <w:rPr>
                <w:rFonts w:hint="eastAsia" w:ascii="Times New Roman" w:hAnsi="Times New Roman" w:cs="宋体"/>
                <w:kern w:val="0"/>
              </w:rPr>
              <w:t>净值万元</w:t>
            </w:r>
          </w:p>
        </w:tc>
        <w:tc>
          <w:tcPr>
            <w:tcW w:w="893" w:type="dxa"/>
            <w:gridSpan w:val="2"/>
            <w:vMerge w:val="continue"/>
            <w:vAlign w:val="center"/>
          </w:tcPr>
          <w:p>
            <w:pPr>
              <w:widowControl/>
              <w:spacing w:line="300" w:lineRule="exact"/>
              <w:jc w:val="center"/>
              <w:rPr>
                <w:rFonts w:ascii="Times New Roman" w:hAnsi="Times New Roman" w:cs="Times New Roman"/>
                <w:kern w:val="0"/>
              </w:rPr>
            </w:pPr>
          </w:p>
        </w:tc>
        <w:tc>
          <w:tcPr>
            <w:tcW w:w="1425"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非生产性</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2124"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主要设施</w:t>
            </w:r>
          </w:p>
          <w:p>
            <w:pPr>
              <w:spacing w:line="300" w:lineRule="exact"/>
              <w:jc w:val="center"/>
              <w:rPr>
                <w:rFonts w:ascii="Times New Roman" w:hAnsi="Times New Roman" w:cs="Times New Roman"/>
                <w:kern w:val="0"/>
              </w:rPr>
            </w:pPr>
            <w:r>
              <w:rPr>
                <w:rFonts w:hint="eastAsia" w:ascii="Times New Roman" w:hAnsi="Times New Roman" w:cs="宋体"/>
                <w:kern w:val="0"/>
              </w:rPr>
              <w:t>设备情况</w:t>
            </w:r>
          </w:p>
        </w:tc>
        <w:tc>
          <w:tcPr>
            <w:tcW w:w="5441" w:type="dxa"/>
            <w:gridSpan w:val="9"/>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企业财</w:t>
            </w:r>
          </w:p>
          <w:p>
            <w:pPr>
              <w:spacing w:line="300" w:lineRule="exact"/>
              <w:jc w:val="center"/>
              <w:rPr>
                <w:rFonts w:ascii="Times New Roman" w:hAnsi="Times New Roman" w:cs="Times New Roman"/>
                <w:kern w:val="0"/>
              </w:rPr>
            </w:pPr>
            <w:r>
              <w:rPr>
                <w:rFonts w:hint="eastAsia" w:ascii="Times New Roman" w:hAnsi="Times New Roman" w:cs="宋体"/>
                <w:kern w:val="0"/>
              </w:rPr>
              <w:t>务情况</w:t>
            </w: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年度</w:t>
            </w:r>
          </w:p>
        </w:tc>
        <w:tc>
          <w:tcPr>
            <w:tcW w:w="1602"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收入总额</w:t>
            </w:r>
          </w:p>
        </w:tc>
        <w:tc>
          <w:tcPr>
            <w:tcW w:w="1605"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利润总额</w:t>
            </w:r>
          </w:p>
        </w:tc>
        <w:tc>
          <w:tcPr>
            <w:tcW w:w="1603"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税后利润</w:t>
            </w:r>
          </w:p>
        </w:tc>
        <w:tc>
          <w:tcPr>
            <w:tcW w:w="1700" w:type="dxa"/>
            <w:gridSpan w:val="2"/>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年</w:t>
            </w: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1603" w:type="dxa"/>
            <w:gridSpan w:val="3"/>
            <w:vAlign w:val="center"/>
          </w:tcPr>
          <w:p>
            <w:pPr>
              <w:spacing w:line="300" w:lineRule="exact"/>
              <w:jc w:val="center"/>
              <w:rPr>
                <w:rFonts w:ascii="Times New Roman" w:hAnsi="Times New Roman" w:cs="Times New Roman"/>
                <w:kern w:val="0"/>
              </w:rPr>
            </w:pPr>
          </w:p>
        </w:tc>
        <w:tc>
          <w:tcPr>
            <w:tcW w:w="1700" w:type="dxa"/>
            <w:gridSpan w:val="2"/>
            <w:vAlign w:val="center"/>
          </w:tcPr>
          <w:p>
            <w:pPr>
              <w:spacing w:line="300" w:lineRule="exact"/>
              <w:jc w:val="center"/>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496" w:type="dxa"/>
            <w:vMerge w:val="restart"/>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主要货物状况</w:t>
            </w:r>
          </w:p>
        </w:tc>
        <w:tc>
          <w:tcPr>
            <w:tcW w:w="1055" w:type="dxa"/>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货物</w:t>
            </w:r>
          </w:p>
          <w:p>
            <w:pPr>
              <w:spacing w:line="300" w:lineRule="exact"/>
              <w:jc w:val="center"/>
              <w:rPr>
                <w:rFonts w:ascii="Times New Roman" w:hAnsi="Times New Roman" w:cs="Times New Roman"/>
                <w:kern w:val="0"/>
              </w:rPr>
            </w:pPr>
            <w:r>
              <w:rPr>
                <w:rFonts w:hint="eastAsia" w:ascii="Times New Roman" w:hAnsi="Times New Roman" w:cs="宋体"/>
                <w:kern w:val="0"/>
              </w:rPr>
              <w:t>名称</w:t>
            </w:r>
          </w:p>
        </w:tc>
        <w:tc>
          <w:tcPr>
            <w:tcW w:w="1602"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上年产量</w:t>
            </w:r>
          </w:p>
        </w:tc>
        <w:tc>
          <w:tcPr>
            <w:tcW w:w="1605" w:type="dxa"/>
            <w:gridSpan w:val="3"/>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上年销售值</w:t>
            </w:r>
          </w:p>
          <w:p>
            <w:pPr>
              <w:spacing w:line="300" w:lineRule="exact"/>
              <w:jc w:val="center"/>
              <w:rPr>
                <w:rFonts w:ascii="Times New Roman" w:hAnsi="Times New Roman" w:cs="Times New Roman"/>
                <w:kern w:val="0"/>
              </w:rPr>
            </w:pPr>
            <w:r>
              <w:rPr>
                <w:rFonts w:hint="eastAsia" w:ascii="Times New Roman" w:hAnsi="Times New Roman" w:cs="宋体"/>
                <w:kern w:val="0"/>
              </w:rPr>
              <w:t>（万元）</w:t>
            </w:r>
          </w:p>
        </w:tc>
        <w:tc>
          <w:tcPr>
            <w:tcW w:w="3303" w:type="dxa"/>
            <w:gridSpan w:val="5"/>
            <w:vAlign w:val="center"/>
          </w:tcPr>
          <w:p>
            <w:pPr>
              <w:spacing w:line="300" w:lineRule="exact"/>
              <w:jc w:val="center"/>
              <w:rPr>
                <w:rFonts w:ascii="Times New Roman" w:hAnsi="Times New Roman" w:cs="Times New Roman"/>
                <w:kern w:val="0"/>
              </w:rPr>
            </w:pPr>
            <w:r>
              <w:rPr>
                <w:rFonts w:hint="eastAsia" w:ascii="Times New Roman" w:hAnsi="Times New Roman" w:cs="宋体"/>
                <w:kern w:val="0"/>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496" w:type="dxa"/>
            <w:vMerge w:val="continue"/>
            <w:vAlign w:val="center"/>
          </w:tcPr>
          <w:p>
            <w:pPr>
              <w:widowControl/>
              <w:spacing w:line="300" w:lineRule="exact"/>
              <w:jc w:val="center"/>
              <w:rPr>
                <w:rFonts w:ascii="Times New Roman" w:hAnsi="Times New Roman" w:cs="Times New Roman"/>
                <w:kern w:val="0"/>
              </w:rPr>
            </w:pPr>
          </w:p>
        </w:tc>
        <w:tc>
          <w:tcPr>
            <w:tcW w:w="1055" w:type="dxa"/>
            <w:vAlign w:val="center"/>
          </w:tcPr>
          <w:p>
            <w:pPr>
              <w:spacing w:line="300" w:lineRule="exact"/>
              <w:jc w:val="center"/>
              <w:rPr>
                <w:rFonts w:ascii="Times New Roman" w:hAnsi="Times New Roman" w:cs="Times New Roman"/>
                <w:kern w:val="0"/>
              </w:rPr>
            </w:pPr>
          </w:p>
        </w:tc>
        <w:tc>
          <w:tcPr>
            <w:tcW w:w="1602" w:type="dxa"/>
            <w:gridSpan w:val="3"/>
            <w:vAlign w:val="center"/>
          </w:tcPr>
          <w:p>
            <w:pPr>
              <w:spacing w:line="300" w:lineRule="exact"/>
              <w:jc w:val="center"/>
              <w:rPr>
                <w:rFonts w:ascii="Times New Roman" w:hAnsi="Times New Roman" w:cs="Times New Roman"/>
                <w:kern w:val="0"/>
              </w:rPr>
            </w:pPr>
          </w:p>
        </w:tc>
        <w:tc>
          <w:tcPr>
            <w:tcW w:w="1605" w:type="dxa"/>
            <w:gridSpan w:val="3"/>
            <w:vAlign w:val="center"/>
          </w:tcPr>
          <w:p>
            <w:pPr>
              <w:spacing w:line="300" w:lineRule="exact"/>
              <w:jc w:val="center"/>
              <w:rPr>
                <w:rFonts w:ascii="Times New Roman" w:hAnsi="Times New Roman" w:cs="Times New Roman"/>
                <w:kern w:val="0"/>
              </w:rPr>
            </w:pPr>
          </w:p>
        </w:tc>
        <w:tc>
          <w:tcPr>
            <w:tcW w:w="3303" w:type="dxa"/>
            <w:gridSpan w:val="5"/>
            <w:vAlign w:val="center"/>
          </w:tcPr>
          <w:p>
            <w:pPr>
              <w:spacing w:line="300" w:lineRule="exact"/>
              <w:jc w:val="center"/>
              <w:rPr>
                <w:rFonts w:ascii="Times New Roman" w:hAnsi="Times New Roman" w:cs="Times New Roman"/>
                <w:kern w:val="0"/>
              </w:rPr>
            </w:pPr>
          </w:p>
        </w:tc>
      </w:tr>
    </w:tbl>
    <w:p>
      <w:pPr>
        <w:ind w:firstLine="6096" w:firstLineChars="2639"/>
        <w:jc w:val="right"/>
        <w:rPr>
          <w:rFonts w:cs="Times New Roman"/>
        </w:rPr>
      </w:pPr>
      <w:r>
        <w:rPr>
          <w:rFonts w:hint="eastAsia" w:ascii="Times New Roman" w:hAnsi="Times New Roman" w:cs="宋体"/>
          <w:kern w:val="0"/>
          <w:sz w:val="24"/>
          <w:szCs w:val="24"/>
        </w:rPr>
        <w:t>纸面不敷时，可以另加页</w:t>
      </w:r>
    </w:p>
    <w:sectPr>
      <w:headerReference r:id="rId10" w:type="default"/>
      <w:pgSz w:w="11907" w:h="16840"/>
      <w:pgMar w:top="2098" w:right="1474" w:bottom="1985" w:left="1588" w:header="851" w:footer="964"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w:t>
    </w:r>
    <w:r>
      <w:rPr>
        <w:rStyle w:val="20"/>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4</w:t>
    </w:r>
    <w:r>
      <w:rPr>
        <w:rStyle w:val="20"/>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sz w:val="24"/>
        <w:szCs w:val="24"/>
      </w:rPr>
    </w:pPr>
    <w:r>
      <w:rPr>
        <w:rFonts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46</w:t>
    </w:r>
    <w:r>
      <w:rPr>
        <w:rStyle w:val="20"/>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谈判文件报价方须知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合同样本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sz w:val="21"/>
        <w:szCs w:val="21"/>
      </w:rPr>
    </w:pPr>
  </w:p>
  <w:p>
    <w:pPr>
      <w:pStyle w:val="12"/>
      <w:jc w:val="both"/>
      <w:rPr>
        <w:rFonts w:ascii="楷体_GB2312" w:eastAsia="楷体_GB2312"/>
        <w:sz w:val="21"/>
        <w:szCs w:val="21"/>
      </w:rPr>
    </w:pPr>
  </w:p>
  <w:p>
    <w:pPr>
      <w:pStyle w:val="12"/>
      <w:jc w:val="both"/>
      <w:rPr>
        <w:rFonts w:ascii="楷体_GB2312" w:eastAsia="楷体_GB2312"/>
        <w:sz w:val="21"/>
        <w:szCs w:val="21"/>
      </w:rPr>
    </w:pPr>
    <w:r>
      <w:rPr>
        <w:rFonts w:hint="eastAsia" w:ascii="楷体_GB2312" w:eastAsia="楷体_GB2312" w:cs="楷体_GB2312"/>
        <w:sz w:val="21"/>
        <w:szCs w:val="21"/>
      </w:rPr>
      <w:t>谈判文件</w:t>
    </w:r>
    <w:r>
      <w:rPr>
        <w:rFonts w:hint="eastAsia" w:ascii="楷体_GB2312" w:hAnsi="华文中宋" w:eastAsia="楷体_GB2312" w:cs="楷体_GB2312"/>
        <w:sz w:val="21"/>
        <w:szCs w:val="21"/>
      </w:rPr>
      <w:t>报价文件格式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oNotHyphenateCaps/>
  <w:drawingGridHorizontalSpacing w:val="201"/>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27CF2"/>
    <w:rsid w:val="00064303"/>
    <w:rsid w:val="00072195"/>
    <w:rsid w:val="00082A64"/>
    <w:rsid w:val="00094D66"/>
    <w:rsid w:val="0009631F"/>
    <w:rsid w:val="000A16A1"/>
    <w:rsid w:val="000A47EE"/>
    <w:rsid w:val="000B6DC5"/>
    <w:rsid w:val="000C05CF"/>
    <w:rsid w:val="000E203F"/>
    <w:rsid w:val="000F19EE"/>
    <w:rsid w:val="00146B8C"/>
    <w:rsid w:val="00153547"/>
    <w:rsid w:val="00154A37"/>
    <w:rsid w:val="00156746"/>
    <w:rsid w:val="00157155"/>
    <w:rsid w:val="00167E17"/>
    <w:rsid w:val="001A14C3"/>
    <w:rsid w:val="00214820"/>
    <w:rsid w:val="00265A44"/>
    <w:rsid w:val="002C0F66"/>
    <w:rsid w:val="002C6A11"/>
    <w:rsid w:val="002D331A"/>
    <w:rsid w:val="002E0C33"/>
    <w:rsid w:val="002E3D9F"/>
    <w:rsid w:val="002F1927"/>
    <w:rsid w:val="003027C7"/>
    <w:rsid w:val="003222A0"/>
    <w:rsid w:val="00384C3A"/>
    <w:rsid w:val="00387C50"/>
    <w:rsid w:val="003B09EC"/>
    <w:rsid w:val="003B3BD0"/>
    <w:rsid w:val="003C5E7E"/>
    <w:rsid w:val="003E237F"/>
    <w:rsid w:val="003F5B3D"/>
    <w:rsid w:val="0041496A"/>
    <w:rsid w:val="004208CD"/>
    <w:rsid w:val="00430345"/>
    <w:rsid w:val="004350C6"/>
    <w:rsid w:val="00440C36"/>
    <w:rsid w:val="00452E89"/>
    <w:rsid w:val="004569F6"/>
    <w:rsid w:val="004B38F9"/>
    <w:rsid w:val="004E18EC"/>
    <w:rsid w:val="004E35E3"/>
    <w:rsid w:val="00503256"/>
    <w:rsid w:val="005A24EB"/>
    <w:rsid w:val="005B5235"/>
    <w:rsid w:val="005F2C28"/>
    <w:rsid w:val="005F3E10"/>
    <w:rsid w:val="0062692F"/>
    <w:rsid w:val="006624BA"/>
    <w:rsid w:val="006979A0"/>
    <w:rsid w:val="006A7511"/>
    <w:rsid w:val="006B2818"/>
    <w:rsid w:val="006C1CF4"/>
    <w:rsid w:val="006E5F9F"/>
    <w:rsid w:val="006E67F2"/>
    <w:rsid w:val="007264A9"/>
    <w:rsid w:val="0073357E"/>
    <w:rsid w:val="00756021"/>
    <w:rsid w:val="0077103A"/>
    <w:rsid w:val="0079773B"/>
    <w:rsid w:val="007A278C"/>
    <w:rsid w:val="007B376E"/>
    <w:rsid w:val="007F1DBB"/>
    <w:rsid w:val="007F6EE0"/>
    <w:rsid w:val="00807080"/>
    <w:rsid w:val="0084720F"/>
    <w:rsid w:val="008642CB"/>
    <w:rsid w:val="008D583C"/>
    <w:rsid w:val="008E43CB"/>
    <w:rsid w:val="008F3C8F"/>
    <w:rsid w:val="008F7856"/>
    <w:rsid w:val="00932621"/>
    <w:rsid w:val="00942048"/>
    <w:rsid w:val="00944D9C"/>
    <w:rsid w:val="009478E9"/>
    <w:rsid w:val="00977E68"/>
    <w:rsid w:val="009942A5"/>
    <w:rsid w:val="009959AD"/>
    <w:rsid w:val="009A1A23"/>
    <w:rsid w:val="009A5ABB"/>
    <w:rsid w:val="009D7580"/>
    <w:rsid w:val="009F0E89"/>
    <w:rsid w:val="009F315B"/>
    <w:rsid w:val="00A02C1B"/>
    <w:rsid w:val="00A072CB"/>
    <w:rsid w:val="00A20EFA"/>
    <w:rsid w:val="00A272F7"/>
    <w:rsid w:val="00A37911"/>
    <w:rsid w:val="00A522F8"/>
    <w:rsid w:val="00A8313D"/>
    <w:rsid w:val="00AA43E5"/>
    <w:rsid w:val="00AE4417"/>
    <w:rsid w:val="00B01F17"/>
    <w:rsid w:val="00B14E99"/>
    <w:rsid w:val="00B2575B"/>
    <w:rsid w:val="00B67EE1"/>
    <w:rsid w:val="00B67F14"/>
    <w:rsid w:val="00B81FFF"/>
    <w:rsid w:val="00BC12B2"/>
    <w:rsid w:val="00BD7E70"/>
    <w:rsid w:val="00BF1317"/>
    <w:rsid w:val="00C057F5"/>
    <w:rsid w:val="00C2193B"/>
    <w:rsid w:val="00C475A2"/>
    <w:rsid w:val="00C5456B"/>
    <w:rsid w:val="00C7014A"/>
    <w:rsid w:val="00C840DC"/>
    <w:rsid w:val="00CA5CD5"/>
    <w:rsid w:val="00CD3A99"/>
    <w:rsid w:val="00CD46E0"/>
    <w:rsid w:val="00D17816"/>
    <w:rsid w:val="00D51588"/>
    <w:rsid w:val="00D57598"/>
    <w:rsid w:val="00D93183"/>
    <w:rsid w:val="00DC3285"/>
    <w:rsid w:val="00DD114F"/>
    <w:rsid w:val="00DE2535"/>
    <w:rsid w:val="00DE45D1"/>
    <w:rsid w:val="00DF28D9"/>
    <w:rsid w:val="00E41380"/>
    <w:rsid w:val="00E60B3D"/>
    <w:rsid w:val="00E7347C"/>
    <w:rsid w:val="00E74634"/>
    <w:rsid w:val="00E7484E"/>
    <w:rsid w:val="00E9244B"/>
    <w:rsid w:val="00E93DC5"/>
    <w:rsid w:val="00E977D6"/>
    <w:rsid w:val="00EB77AB"/>
    <w:rsid w:val="00F01F2D"/>
    <w:rsid w:val="00F61B44"/>
    <w:rsid w:val="00F75355"/>
    <w:rsid w:val="00F76A38"/>
    <w:rsid w:val="00FA4E4F"/>
    <w:rsid w:val="00FC33D8"/>
    <w:rsid w:val="00FE133A"/>
    <w:rsid w:val="00FF193E"/>
    <w:rsid w:val="00FF768E"/>
    <w:rsid w:val="018B0150"/>
    <w:rsid w:val="01F87C0D"/>
    <w:rsid w:val="026C3774"/>
    <w:rsid w:val="02FE2C2E"/>
    <w:rsid w:val="03917464"/>
    <w:rsid w:val="03D059C6"/>
    <w:rsid w:val="03DC06F7"/>
    <w:rsid w:val="03F639DF"/>
    <w:rsid w:val="041D3085"/>
    <w:rsid w:val="04A25D9D"/>
    <w:rsid w:val="04D85AE0"/>
    <w:rsid w:val="04DA3E34"/>
    <w:rsid w:val="050C5C81"/>
    <w:rsid w:val="05176A90"/>
    <w:rsid w:val="0567204A"/>
    <w:rsid w:val="05CF0AD4"/>
    <w:rsid w:val="05D0213F"/>
    <w:rsid w:val="06FE0D63"/>
    <w:rsid w:val="073108D8"/>
    <w:rsid w:val="07474DD5"/>
    <w:rsid w:val="07671BD1"/>
    <w:rsid w:val="07D9034C"/>
    <w:rsid w:val="07F337B3"/>
    <w:rsid w:val="07FF53BC"/>
    <w:rsid w:val="08C63837"/>
    <w:rsid w:val="093055FD"/>
    <w:rsid w:val="09321D4D"/>
    <w:rsid w:val="09B53B3A"/>
    <w:rsid w:val="09C45598"/>
    <w:rsid w:val="0A077774"/>
    <w:rsid w:val="0A3B45CE"/>
    <w:rsid w:val="0A4159A4"/>
    <w:rsid w:val="0B486855"/>
    <w:rsid w:val="0B8B2B14"/>
    <w:rsid w:val="0CB22AF7"/>
    <w:rsid w:val="0E462025"/>
    <w:rsid w:val="0E606456"/>
    <w:rsid w:val="0E823A67"/>
    <w:rsid w:val="0EB822CF"/>
    <w:rsid w:val="0F206284"/>
    <w:rsid w:val="0F251AE6"/>
    <w:rsid w:val="0F4A4459"/>
    <w:rsid w:val="0F94656F"/>
    <w:rsid w:val="106927A0"/>
    <w:rsid w:val="10954343"/>
    <w:rsid w:val="11013262"/>
    <w:rsid w:val="11A6391D"/>
    <w:rsid w:val="11A823CD"/>
    <w:rsid w:val="120502BA"/>
    <w:rsid w:val="120F721F"/>
    <w:rsid w:val="122F6A52"/>
    <w:rsid w:val="129E1250"/>
    <w:rsid w:val="131A413B"/>
    <w:rsid w:val="13A0673F"/>
    <w:rsid w:val="13C83B0B"/>
    <w:rsid w:val="13D83F32"/>
    <w:rsid w:val="13E72650"/>
    <w:rsid w:val="140A299D"/>
    <w:rsid w:val="140C0FE0"/>
    <w:rsid w:val="14241E2D"/>
    <w:rsid w:val="14270C62"/>
    <w:rsid w:val="142A70A3"/>
    <w:rsid w:val="14491F82"/>
    <w:rsid w:val="14F44161"/>
    <w:rsid w:val="14F56081"/>
    <w:rsid w:val="160272A2"/>
    <w:rsid w:val="1604230A"/>
    <w:rsid w:val="16240B69"/>
    <w:rsid w:val="166B43B2"/>
    <w:rsid w:val="169C56E6"/>
    <w:rsid w:val="16E77D95"/>
    <w:rsid w:val="17020480"/>
    <w:rsid w:val="1726503F"/>
    <w:rsid w:val="1742320F"/>
    <w:rsid w:val="17505B57"/>
    <w:rsid w:val="17CB1EB3"/>
    <w:rsid w:val="17D95FFA"/>
    <w:rsid w:val="186330D1"/>
    <w:rsid w:val="18E77E26"/>
    <w:rsid w:val="19647333"/>
    <w:rsid w:val="199149A8"/>
    <w:rsid w:val="1A3C1DC5"/>
    <w:rsid w:val="1AA864C5"/>
    <w:rsid w:val="1B92234B"/>
    <w:rsid w:val="1B9400D4"/>
    <w:rsid w:val="1C1B5151"/>
    <w:rsid w:val="1C4256FB"/>
    <w:rsid w:val="1C4F4E74"/>
    <w:rsid w:val="1C7E01E1"/>
    <w:rsid w:val="1C834943"/>
    <w:rsid w:val="1CA44D9B"/>
    <w:rsid w:val="1DD0222D"/>
    <w:rsid w:val="1E160024"/>
    <w:rsid w:val="1F1F060E"/>
    <w:rsid w:val="1FC14A3A"/>
    <w:rsid w:val="1FFA3626"/>
    <w:rsid w:val="204919D8"/>
    <w:rsid w:val="21220CF2"/>
    <w:rsid w:val="2143487F"/>
    <w:rsid w:val="21517BAD"/>
    <w:rsid w:val="21700A18"/>
    <w:rsid w:val="21F018E4"/>
    <w:rsid w:val="226172E4"/>
    <w:rsid w:val="227B3EFF"/>
    <w:rsid w:val="22A82891"/>
    <w:rsid w:val="2346666F"/>
    <w:rsid w:val="2441607D"/>
    <w:rsid w:val="24834BE3"/>
    <w:rsid w:val="24A76E5A"/>
    <w:rsid w:val="24F20BA9"/>
    <w:rsid w:val="25763E39"/>
    <w:rsid w:val="25A30545"/>
    <w:rsid w:val="263A5877"/>
    <w:rsid w:val="2646291A"/>
    <w:rsid w:val="26F32024"/>
    <w:rsid w:val="275568CD"/>
    <w:rsid w:val="27697DFB"/>
    <w:rsid w:val="27895351"/>
    <w:rsid w:val="278E64F9"/>
    <w:rsid w:val="28566ACA"/>
    <w:rsid w:val="28A63C47"/>
    <w:rsid w:val="28EB7015"/>
    <w:rsid w:val="29216F76"/>
    <w:rsid w:val="293F0477"/>
    <w:rsid w:val="29B80D62"/>
    <w:rsid w:val="2A0A1C01"/>
    <w:rsid w:val="2A5C7E14"/>
    <w:rsid w:val="2AAB150D"/>
    <w:rsid w:val="2AAE2061"/>
    <w:rsid w:val="2B022364"/>
    <w:rsid w:val="2BAD4434"/>
    <w:rsid w:val="2BD669A9"/>
    <w:rsid w:val="2C8F289C"/>
    <w:rsid w:val="2D42348A"/>
    <w:rsid w:val="2DB740C0"/>
    <w:rsid w:val="2DC54CDA"/>
    <w:rsid w:val="2FB302E4"/>
    <w:rsid w:val="306627B6"/>
    <w:rsid w:val="30D40D8A"/>
    <w:rsid w:val="31530E5E"/>
    <w:rsid w:val="31675362"/>
    <w:rsid w:val="31746A38"/>
    <w:rsid w:val="32126342"/>
    <w:rsid w:val="32AD236C"/>
    <w:rsid w:val="32CF1110"/>
    <w:rsid w:val="32E943DC"/>
    <w:rsid w:val="339B729B"/>
    <w:rsid w:val="33A67B1A"/>
    <w:rsid w:val="33D736D8"/>
    <w:rsid w:val="341A7504"/>
    <w:rsid w:val="341F23BE"/>
    <w:rsid w:val="342329EF"/>
    <w:rsid w:val="34413DD2"/>
    <w:rsid w:val="34B050AA"/>
    <w:rsid w:val="35385B5F"/>
    <w:rsid w:val="35A1352A"/>
    <w:rsid w:val="35B042B9"/>
    <w:rsid w:val="35EA4055"/>
    <w:rsid w:val="363A5176"/>
    <w:rsid w:val="36560962"/>
    <w:rsid w:val="36643450"/>
    <w:rsid w:val="36A007EB"/>
    <w:rsid w:val="370B5261"/>
    <w:rsid w:val="37F24744"/>
    <w:rsid w:val="38387A5F"/>
    <w:rsid w:val="38F23359"/>
    <w:rsid w:val="3940068A"/>
    <w:rsid w:val="39567979"/>
    <w:rsid w:val="395B10BB"/>
    <w:rsid w:val="39F743FF"/>
    <w:rsid w:val="3A6316DA"/>
    <w:rsid w:val="3B601302"/>
    <w:rsid w:val="3BA55104"/>
    <w:rsid w:val="3BC964DE"/>
    <w:rsid w:val="3C540BB2"/>
    <w:rsid w:val="3C582B8D"/>
    <w:rsid w:val="3C8E62D2"/>
    <w:rsid w:val="3C9070D4"/>
    <w:rsid w:val="3CE25559"/>
    <w:rsid w:val="3EA80A1D"/>
    <w:rsid w:val="3F2F00D0"/>
    <w:rsid w:val="3F6E619F"/>
    <w:rsid w:val="3F714A91"/>
    <w:rsid w:val="3FB15406"/>
    <w:rsid w:val="403721AC"/>
    <w:rsid w:val="4080432F"/>
    <w:rsid w:val="41227EA7"/>
    <w:rsid w:val="412354E7"/>
    <w:rsid w:val="41F02A17"/>
    <w:rsid w:val="42955A8D"/>
    <w:rsid w:val="42A93B56"/>
    <w:rsid w:val="448925A1"/>
    <w:rsid w:val="44EC2DAE"/>
    <w:rsid w:val="455A7CE7"/>
    <w:rsid w:val="45754D33"/>
    <w:rsid w:val="45DB2D70"/>
    <w:rsid w:val="46245370"/>
    <w:rsid w:val="469A385C"/>
    <w:rsid w:val="46CD70F1"/>
    <w:rsid w:val="472A22B9"/>
    <w:rsid w:val="48846521"/>
    <w:rsid w:val="493C3294"/>
    <w:rsid w:val="494C113B"/>
    <w:rsid w:val="49536D10"/>
    <w:rsid w:val="4963554F"/>
    <w:rsid w:val="49833CA8"/>
    <w:rsid w:val="49E63444"/>
    <w:rsid w:val="4A943D48"/>
    <w:rsid w:val="4A963343"/>
    <w:rsid w:val="4AB16F3C"/>
    <w:rsid w:val="4AB80140"/>
    <w:rsid w:val="4C02750F"/>
    <w:rsid w:val="4C084469"/>
    <w:rsid w:val="4C3C71D5"/>
    <w:rsid w:val="4C502373"/>
    <w:rsid w:val="4C840DB0"/>
    <w:rsid w:val="4CB612DF"/>
    <w:rsid w:val="4CE00F2B"/>
    <w:rsid w:val="4D1C040B"/>
    <w:rsid w:val="4DAA3648"/>
    <w:rsid w:val="4DF80C47"/>
    <w:rsid w:val="4E2164A6"/>
    <w:rsid w:val="4EC5140E"/>
    <w:rsid w:val="4F0E6FD4"/>
    <w:rsid w:val="4F523362"/>
    <w:rsid w:val="4F911E8C"/>
    <w:rsid w:val="4FD23A49"/>
    <w:rsid w:val="502974FB"/>
    <w:rsid w:val="50C809CE"/>
    <w:rsid w:val="515B269C"/>
    <w:rsid w:val="51910ECD"/>
    <w:rsid w:val="52EB43D8"/>
    <w:rsid w:val="5336748E"/>
    <w:rsid w:val="535423C4"/>
    <w:rsid w:val="53D1575D"/>
    <w:rsid w:val="540F5EFF"/>
    <w:rsid w:val="545F7E8B"/>
    <w:rsid w:val="552B7978"/>
    <w:rsid w:val="55C5146D"/>
    <w:rsid w:val="563042B8"/>
    <w:rsid w:val="56526F03"/>
    <w:rsid w:val="56E5097A"/>
    <w:rsid w:val="56EB791E"/>
    <w:rsid w:val="586704CA"/>
    <w:rsid w:val="58A46730"/>
    <w:rsid w:val="596B6567"/>
    <w:rsid w:val="598C28BF"/>
    <w:rsid w:val="59A0093B"/>
    <w:rsid w:val="59BB3976"/>
    <w:rsid w:val="59E65B4C"/>
    <w:rsid w:val="5A1370C7"/>
    <w:rsid w:val="5A63195C"/>
    <w:rsid w:val="5AFE4E62"/>
    <w:rsid w:val="5B6142C6"/>
    <w:rsid w:val="5BC816B3"/>
    <w:rsid w:val="5BE80A24"/>
    <w:rsid w:val="5C154595"/>
    <w:rsid w:val="5C493B14"/>
    <w:rsid w:val="5C807B37"/>
    <w:rsid w:val="5C9D2C5C"/>
    <w:rsid w:val="5D145686"/>
    <w:rsid w:val="5D552F86"/>
    <w:rsid w:val="5D704F23"/>
    <w:rsid w:val="5D856167"/>
    <w:rsid w:val="5DCB761F"/>
    <w:rsid w:val="5DDA5746"/>
    <w:rsid w:val="5E3C5CE6"/>
    <w:rsid w:val="5E471240"/>
    <w:rsid w:val="5E4B2DD3"/>
    <w:rsid w:val="5F0445C1"/>
    <w:rsid w:val="5F347805"/>
    <w:rsid w:val="5F4867B4"/>
    <w:rsid w:val="5F6E26AF"/>
    <w:rsid w:val="5F7B633B"/>
    <w:rsid w:val="5F8B118B"/>
    <w:rsid w:val="5FA4495C"/>
    <w:rsid w:val="600D6050"/>
    <w:rsid w:val="602653D9"/>
    <w:rsid w:val="602A6993"/>
    <w:rsid w:val="602D3C14"/>
    <w:rsid w:val="604E494B"/>
    <w:rsid w:val="606025E2"/>
    <w:rsid w:val="60836FC4"/>
    <w:rsid w:val="608A217A"/>
    <w:rsid w:val="6132760C"/>
    <w:rsid w:val="632577CA"/>
    <w:rsid w:val="632B2E04"/>
    <w:rsid w:val="63FF0180"/>
    <w:rsid w:val="64142638"/>
    <w:rsid w:val="64322C49"/>
    <w:rsid w:val="647C4937"/>
    <w:rsid w:val="64DB5E3F"/>
    <w:rsid w:val="65395B4B"/>
    <w:rsid w:val="656E3487"/>
    <w:rsid w:val="658645B3"/>
    <w:rsid w:val="65CF13CB"/>
    <w:rsid w:val="6613667F"/>
    <w:rsid w:val="66303E1B"/>
    <w:rsid w:val="66EE2859"/>
    <w:rsid w:val="67687763"/>
    <w:rsid w:val="6775325D"/>
    <w:rsid w:val="67825D2B"/>
    <w:rsid w:val="68D64F7E"/>
    <w:rsid w:val="68E528BA"/>
    <w:rsid w:val="69BF2654"/>
    <w:rsid w:val="69EA728F"/>
    <w:rsid w:val="6A18152C"/>
    <w:rsid w:val="6A295B06"/>
    <w:rsid w:val="6AB115F1"/>
    <w:rsid w:val="6AB655C9"/>
    <w:rsid w:val="6AF12C9E"/>
    <w:rsid w:val="6AFA258A"/>
    <w:rsid w:val="6B000DB0"/>
    <w:rsid w:val="6B6C37A7"/>
    <w:rsid w:val="6B796D91"/>
    <w:rsid w:val="6B9519AA"/>
    <w:rsid w:val="6C4F1391"/>
    <w:rsid w:val="6CDA3EC6"/>
    <w:rsid w:val="6D374C2F"/>
    <w:rsid w:val="6D59029C"/>
    <w:rsid w:val="6D967CBC"/>
    <w:rsid w:val="6DEA50D5"/>
    <w:rsid w:val="6DEA6096"/>
    <w:rsid w:val="6E356A8F"/>
    <w:rsid w:val="6E746998"/>
    <w:rsid w:val="6EC35E72"/>
    <w:rsid w:val="6EDB31C4"/>
    <w:rsid w:val="6F6121EC"/>
    <w:rsid w:val="6FA4718E"/>
    <w:rsid w:val="71087781"/>
    <w:rsid w:val="71594602"/>
    <w:rsid w:val="71EF09C1"/>
    <w:rsid w:val="71F3271E"/>
    <w:rsid w:val="72EC2232"/>
    <w:rsid w:val="737624BD"/>
    <w:rsid w:val="73AB682B"/>
    <w:rsid w:val="755C67BC"/>
    <w:rsid w:val="759A09C6"/>
    <w:rsid w:val="76A012C2"/>
    <w:rsid w:val="76BB1D92"/>
    <w:rsid w:val="771D5DA3"/>
    <w:rsid w:val="7733663D"/>
    <w:rsid w:val="77717376"/>
    <w:rsid w:val="77BB40BF"/>
    <w:rsid w:val="77CA2381"/>
    <w:rsid w:val="77F370AB"/>
    <w:rsid w:val="783A6D71"/>
    <w:rsid w:val="784B1724"/>
    <w:rsid w:val="78A744F8"/>
    <w:rsid w:val="78D757B8"/>
    <w:rsid w:val="7915079E"/>
    <w:rsid w:val="796C1639"/>
    <w:rsid w:val="79D40A2F"/>
    <w:rsid w:val="79D4226C"/>
    <w:rsid w:val="7A0161B3"/>
    <w:rsid w:val="7A244CCC"/>
    <w:rsid w:val="7AA02BFA"/>
    <w:rsid w:val="7B2B4F85"/>
    <w:rsid w:val="7B5412A8"/>
    <w:rsid w:val="7BBA38C2"/>
    <w:rsid w:val="7BE14803"/>
    <w:rsid w:val="7C1900FC"/>
    <w:rsid w:val="7C6A00F5"/>
    <w:rsid w:val="7C7D0548"/>
    <w:rsid w:val="7CF775BC"/>
    <w:rsid w:val="7D9A75CF"/>
    <w:rsid w:val="7FC929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5"/>
    <w:link w:val="23"/>
    <w:qFormat/>
    <w:uiPriority w:val="99"/>
    <w:pPr>
      <w:keepNext/>
      <w:keepLines/>
      <w:widowControl/>
      <w:spacing w:before="260" w:after="260" w:line="416" w:lineRule="auto"/>
      <w:jc w:val="left"/>
      <w:outlineLvl w:val="1"/>
    </w:pPr>
    <w:rPr>
      <w:rFonts w:ascii="Arial" w:hAnsi="Arial" w:eastAsia="黑体" w:cs="Arial"/>
      <w:b/>
      <w:bCs/>
      <w:kern w:val="0"/>
      <w:sz w:val="32"/>
      <w:szCs w:val="32"/>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rPr>
      <w:rFonts w:ascii="Times New Roman" w:hAnsi="Times New Roman" w:cs="Times New Roman"/>
      <w:kern w:val="0"/>
    </w:rPr>
  </w:style>
  <w:style w:type="paragraph" w:styleId="5">
    <w:name w:val="Normal Indent"/>
    <w:basedOn w:val="1"/>
    <w:qFormat/>
    <w:uiPriority w:val="99"/>
    <w:pPr>
      <w:ind w:firstLine="420" w:firstLineChars="200"/>
    </w:pPr>
    <w:rPr>
      <w:rFonts w:ascii="Times New Roman" w:hAnsi="Times New Roman" w:cs="Times New Roman"/>
      <w:kern w:val="0"/>
      <w:sz w:val="24"/>
      <w:szCs w:val="24"/>
    </w:rPr>
  </w:style>
  <w:style w:type="paragraph" w:styleId="6">
    <w:name w:val="Document Map"/>
    <w:basedOn w:val="1"/>
    <w:link w:val="25"/>
    <w:semiHidden/>
    <w:qFormat/>
    <w:uiPriority w:val="99"/>
    <w:pPr>
      <w:shd w:val="clear" w:color="auto" w:fill="000080"/>
    </w:pPr>
    <w:rPr>
      <w:rFonts w:ascii="Times New Roman" w:hAnsi="Times New Roman" w:cs="Times New Roman"/>
      <w:kern w:val="0"/>
      <w:sz w:val="24"/>
      <w:szCs w:val="24"/>
    </w:rPr>
  </w:style>
  <w:style w:type="paragraph" w:styleId="7">
    <w:name w:val="Body Text Indent"/>
    <w:basedOn w:val="1"/>
    <w:link w:val="26"/>
    <w:qFormat/>
    <w:uiPriority w:val="99"/>
    <w:pPr>
      <w:ind w:firstLine="555"/>
    </w:pPr>
    <w:rPr>
      <w:rFonts w:ascii="Times New Roman" w:hAnsi="Times New Roman" w:cs="Times New Roman"/>
      <w:kern w:val="0"/>
      <w:sz w:val="24"/>
      <w:szCs w:val="24"/>
    </w:rPr>
  </w:style>
  <w:style w:type="paragraph" w:styleId="8">
    <w:name w:val="Plain Text"/>
    <w:basedOn w:val="1"/>
    <w:link w:val="27"/>
    <w:qFormat/>
    <w:uiPriority w:val="99"/>
    <w:rPr>
      <w:rFonts w:ascii="宋体" w:hAnsi="Courier New" w:cs="宋体"/>
      <w:sz w:val="24"/>
      <w:szCs w:val="24"/>
    </w:rPr>
  </w:style>
  <w:style w:type="paragraph" w:styleId="9">
    <w:name w:val="Body Text Indent 2"/>
    <w:basedOn w:val="1"/>
    <w:link w:val="28"/>
    <w:qFormat/>
    <w:uiPriority w:val="99"/>
    <w:pPr>
      <w:spacing w:line="540" w:lineRule="exact"/>
      <w:ind w:firstLine="630"/>
    </w:pPr>
    <w:rPr>
      <w:rFonts w:ascii="Times New Roman" w:hAnsi="Times New Roman" w:cs="Times New Roman"/>
      <w:kern w:val="0"/>
      <w:sz w:val="24"/>
      <w:szCs w:val="24"/>
    </w:rPr>
  </w:style>
  <w:style w:type="paragraph" w:styleId="10">
    <w:name w:val="Balloon Text"/>
    <w:basedOn w:val="1"/>
    <w:link w:val="29"/>
    <w:semiHidden/>
    <w:qFormat/>
    <w:uiPriority w:val="99"/>
    <w:rPr>
      <w:rFonts w:ascii="Times New Roman" w:hAnsi="Times New Roman" w:cs="Times New Roman"/>
      <w:kern w:val="0"/>
      <w:sz w:val="18"/>
      <w:szCs w:val="18"/>
    </w:rPr>
  </w:style>
  <w:style w:type="paragraph" w:styleId="11">
    <w:name w:val="footer"/>
    <w:basedOn w:val="1"/>
    <w:link w:val="3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3">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4">
    <w:name w:val="Body Text 2"/>
    <w:basedOn w:val="1"/>
    <w:link w:val="32"/>
    <w:qFormat/>
    <w:uiPriority w:val="99"/>
    <w:pPr>
      <w:jc w:val="center"/>
    </w:pPr>
    <w:rPr>
      <w:rFonts w:ascii="Times New Roman" w:hAnsi="Times New Roman" w:cs="Times New Roman"/>
      <w:kern w:val="0"/>
    </w:rPr>
  </w:style>
  <w:style w:type="paragraph" w:styleId="15">
    <w:name w:val="index 1"/>
    <w:basedOn w:val="1"/>
    <w:next w:val="1"/>
    <w:semiHidden/>
    <w:qFormat/>
    <w:uiPriority w:val="99"/>
    <w:rPr>
      <w:rFonts w:ascii="Times New Roman" w:hAnsi="Times New Roman" w:cs="Times New Roman"/>
      <w:kern w:val="0"/>
      <w:sz w:val="24"/>
      <w:szCs w:val="24"/>
    </w:rPr>
  </w:style>
  <w:style w:type="paragraph" w:styleId="16">
    <w:name w:val="Body Text First Indent"/>
    <w:basedOn w:val="2"/>
    <w:qFormat/>
    <w:locked/>
    <w:uiPriority w:val="0"/>
    <w:pPr>
      <w:ind w:firstLine="420" w:firstLineChars="100"/>
    </w:pPr>
    <w:rPr>
      <w:rFonts w:ascii="Times New Roman" w:hAnsi="Times New Roman" w:eastAsia="宋体" w:cs="Times New Roman"/>
      <w:kern w:val="0"/>
      <w:sz w:val="24"/>
      <w:szCs w:val="24"/>
    </w:rPr>
  </w:style>
  <w:style w:type="table" w:styleId="18">
    <w:name w:val="Table Grid"/>
    <w:basedOn w:val="17"/>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99"/>
    <w:rPr>
      <w:rFonts w:cs="Times New Roman"/>
    </w:rPr>
  </w:style>
  <w:style w:type="character" w:styleId="21">
    <w:name w:val="Hyperlink"/>
    <w:basedOn w:val="19"/>
    <w:qFormat/>
    <w:uiPriority w:val="99"/>
    <w:rPr>
      <w:rFonts w:cs="Times New Roman"/>
      <w:color w:val="0000FF"/>
      <w:u w:val="single"/>
    </w:rPr>
  </w:style>
  <w:style w:type="character" w:customStyle="1" w:styleId="22">
    <w:name w:val="Heading 1 Char"/>
    <w:basedOn w:val="19"/>
    <w:link w:val="3"/>
    <w:qFormat/>
    <w:locked/>
    <w:uiPriority w:val="99"/>
    <w:rPr>
      <w:rFonts w:ascii="Times New Roman" w:hAnsi="Times New Roman" w:eastAsia="宋体" w:cs="Times New Roman"/>
      <w:b/>
      <w:bCs/>
      <w:kern w:val="44"/>
      <w:sz w:val="44"/>
      <w:szCs w:val="44"/>
    </w:rPr>
  </w:style>
  <w:style w:type="character" w:customStyle="1" w:styleId="23">
    <w:name w:val="Heading 2 Char"/>
    <w:basedOn w:val="19"/>
    <w:link w:val="4"/>
    <w:qFormat/>
    <w:locked/>
    <w:uiPriority w:val="99"/>
    <w:rPr>
      <w:rFonts w:ascii="Arial" w:hAnsi="Arial" w:eastAsia="黑体" w:cs="Arial"/>
      <w:b/>
      <w:bCs/>
      <w:kern w:val="0"/>
      <w:sz w:val="20"/>
      <w:szCs w:val="20"/>
    </w:rPr>
  </w:style>
  <w:style w:type="character" w:customStyle="1" w:styleId="24">
    <w:name w:val="Body Text Char"/>
    <w:basedOn w:val="19"/>
    <w:link w:val="2"/>
    <w:qFormat/>
    <w:locked/>
    <w:uiPriority w:val="99"/>
    <w:rPr>
      <w:rFonts w:ascii="Times New Roman" w:hAnsi="Times New Roman" w:eastAsia="宋体" w:cs="Times New Roman"/>
      <w:kern w:val="0"/>
      <w:sz w:val="24"/>
      <w:szCs w:val="24"/>
    </w:rPr>
  </w:style>
  <w:style w:type="character" w:customStyle="1" w:styleId="25">
    <w:name w:val="Document Map Char"/>
    <w:basedOn w:val="19"/>
    <w:link w:val="6"/>
    <w:semiHidden/>
    <w:qFormat/>
    <w:locked/>
    <w:uiPriority w:val="99"/>
    <w:rPr>
      <w:rFonts w:ascii="Times New Roman" w:hAnsi="Times New Roman" w:eastAsia="宋体" w:cs="Times New Roman"/>
      <w:kern w:val="0"/>
      <w:sz w:val="24"/>
      <w:szCs w:val="24"/>
      <w:shd w:val="clear" w:color="auto" w:fill="000080"/>
    </w:rPr>
  </w:style>
  <w:style w:type="character" w:customStyle="1" w:styleId="26">
    <w:name w:val="Body Text Indent Char"/>
    <w:basedOn w:val="19"/>
    <w:link w:val="7"/>
    <w:qFormat/>
    <w:locked/>
    <w:uiPriority w:val="99"/>
    <w:rPr>
      <w:rFonts w:ascii="Times New Roman" w:hAnsi="Times New Roman" w:eastAsia="宋体" w:cs="Times New Roman"/>
      <w:kern w:val="0"/>
      <w:sz w:val="24"/>
      <w:szCs w:val="24"/>
    </w:rPr>
  </w:style>
  <w:style w:type="character" w:customStyle="1" w:styleId="27">
    <w:name w:val="Plain Text Char"/>
    <w:basedOn w:val="19"/>
    <w:link w:val="8"/>
    <w:qFormat/>
    <w:locked/>
    <w:uiPriority w:val="99"/>
    <w:rPr>
      <w:rFonts w:ascii="宋体" w:hAnsi="Courier New" w:eastAsia="宋体" w:cs="宋体"/>
      <w:sz w:val="21"/>
      <w:szCs w:val="21"/>
    </w:rPr>
  </w:style>
  <w:style w:type="character" w:customStyle="1" w:styleId="28">
    <w:name w:val="Body Text Indent 2 Char"/>
    <w:basedOn w:val="19"/>
    <w:link w:val="9"/>
    <w:qFormat/>
    <w:locked/>
    <w:uiPriority w:val="99"/>
    <w:rPr>
      <w:rFonts w:ascii="Times New Roman" w:hAnsi="Times New Roman" w:eastAsia="宋体" w:cs="Times New Roman"/>
      <w:kern w:val="0"/>
      <w:sz w:val="24"/>
      <w:szCs w:val="24"/>
    </w:rPr>
  </w:style>
  <w:style w:type="character" w:customStyle="1" w:styleId="29">
    <w:name w:val="Balloon Text Char"/>
    <w:basedOn w:val="19"/>
    <w:link w:val="10"/>
    <w:semiHidden/>
    <w:qFormat/>
    <w:locked/>
    <w:uiPriority w:val="99"/>
    <w:rPr>
      <w:rFonts w:ascii="Times New Roman" w:hAnsi="Times New Roman" w:eastAsia="宋体" w:cs="Times New Roman"/>
      <w:kern w:val="0"/>
      <w:sz w:val="18"/>
      <w:szCs w:val="18"/>
    </w:rPr>
  </w:style>
  <w:style w:type="character" w:customStyle="1" w:styleId="30">
    <w:name w:val="Footer Char"/>
    <w:basedOn w:val="19"/>
    <w:link w:val="11"/>
    <w:qFormat/>
    <w:locked/>
    <w:uiPriority w:val="99"/>
    <w:rPr>
      <w:rFonts w:ascii="Times New Roman" w:hAnsi="Times New Roman" w:eastAsia="宋体" w:cs="Times New Roman"/>
      <w:kern w:val="0"/>
      <w:sz w:val="18"/>
      <w:szCs w:val="18"/>
    </w:rPr>
  </w:style>
  <w:style w:type="character" w:customStyle="1" w:styleId="31">
    <w:name w:val="Header Char"/>
    <w:basedOn w:val="19"/>
    <w:link w:val="12"/>
    <w:qFormat/>
    <w:locked/>
    <w:uiPriority w:val="99"/>
    <w:rPr>
      <w:rFonts w:ascii="Times New Roman" w:hAnsi="Times New Roman" w:eastAsia="宋体" w:cs="Times New Roman"/>
      <w:kern w:val="0"/>
      <w:sz w:val="18"/>
      <w:szCs w:val="18"/>
    </w:rPr>
  </w:style>
  <w:style w:type="character" w:customStyle="1" w:styleId="32">
    <w:name w:val="Body Text 2 Char"/>
    <w:basedOn w:val="19"/>
    <w:link w:val="14"/>
    <w:qFormat/>
    <w:locked/>
    <w:uiPriority w:val="99"/>
    <w:rPr>
      <w:rFonts w:ascii="Times New Roman" w:hAnsi="Times New Roman" w:eastAsia="宋体" w:cs="Times New Roman"/>
      <w:kern w:val="0"/>
      <w:sz w:val="24"/>
      <w:szCs w:val="24"/>
    </w:rPr>
  </w:style>
  <w:style w:type="paragraph" w:customStyle="1" w:styleId="33">
    <w:name w:val="正文文字缩进"/>
    <w:qFormat/>
    <w:uiPriority w:val="99"/>
    <w:pPr>
      <w:spacing w:line="351" w:lineRule="atLeast"/>
      <w:ind w:firstLine="555"/>
      <w:textAlignment w:val="baseline"/>
    </w:pPr>
    <w:rPr>
      <w:rFonts w:ascii="Times New Roman" w:hAnsi="Times New Roman" w:eastAsia="宋体" w:cs="Times New Roman"/>
      <w:color w:val="000000"/>
      <w:kern w:val="0"/>
      <w:sz w:val="28"/>
      <w:szCs w:val="28"/>
      <w:u w:color="000000"/>
      <w:lang w:val="en-US" w:eastAsia="zh-CN" w:bidi="ar-SA"/>
    </w:rPr>
  </w:style>
  <w:style w:type="paragraph" w:customStyle="1" w:styleId="34">
    <w:name w:val="样式1"/>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2"/>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样式3"/>
    <w:basedOn w:val="3"/>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7">
    <w:name w:val="列出段落1"/>
    <w:basedOn w:val="1"/>
    <w:link w:val="41"/>
    <w:qFormat/>
    <w:uiPriority w:val="99"/>
    <w:pPr>
      <w:widowControl/>
      <w:ind w:left="720" w:firstLine="360"/>
      <w:jc w:val="left"/>
    </w:pPr>
    <w:rPr>
      <w:rFonts w:cs="Times New Roman"/>
      <w:kern w:val="0"/>
      <w:sz w:val="20"/>
      <w:szCs w:val="20"/>
      <w:lang w:val="zh-CN" w:eastAsia="en-US"/>
    </w:rPr>
  </w:style>
  <w:style w:type="paragraph" w:customStyle="1" w:styleId="38">
    <w:name w:val="1111111199999"/>
    <w:basedOn w:val="1"/>
    <w:link w:val="39"/>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9">
    <w:name w:val="1111111199999 Char"/>
    <w:link w:val="38"/>
    <w:qFormat/>
    <w:locked/>
    <w:uiPriority w:val="99"/>
    <w:rPr>
      <w:rFonts w:ascii="Times New Roman" w:hAnsi="Times New Roman" w:eastAsia="宋体"/>
      <w:kern w:val="0"/>
      <w:sz w:val="20"/>
      <w:lang w:val="zh-CN" w:eastAsia="zh-CN"/>
    </w:rPr>
  </w:style>
  <w:style w:type="character" w:customStyle="1" w:styleId="40">
    <w:name w:val="apple-style-span"/>
    <w:qFormat/>
    <w:uiPriority w:val="99"/>
  </w:style>
  <w:style w:type="character" w:customStyle="1" w:styleId="41">
    <w:name w:val="List Paragraph Char"/>
    <w:link w:val="37"/>
    <w:qFormat/>
    <w:locked/>
    <w:uiPriority w:val="99"/>
    <w:rPr>
      <w:rFonts w:ascii="Calibri" w:hAnsi="Calibri" w:eastAsia="宋体"/>
      <w:kern w:val="0"/>
      <w:sz w:val="20"/>
      <w:lang w:val="zh-CN" w:eastAsia="en-US"/>
    </w:rPr>
  </w:style>
  <w:style w:type="paragraph" w:customStyle="1" w:styleId="42">
    <w:name w:val="Char Char Char Char"/>
    <w:basedOn w:val="1"/>
    <w:qFormat/>
    <w:uiPriority w:val="99"/>
    <w:rPr>
      <w:rFonts w:ascii="Times New Roman" w:hAnsi="Times New Roman" w:cs="Times New Roman"/>
      <w:sz w:val="24"/>
      <w:szCs w:val="24"/>
    </w:rPr>
  </w:style>
  <w:style w:type="character" w:customStyle="1" w:styleId="43">
    <w:name w:val="Char Char4"/>
    <w:qFormat/>
    <w:locked/>
    <w:uiPriority w:val="99"/>
    <w:rPr>
      <w:rFonts w:ascii="宋体" w:hAnsi="Courier New" w:eastAsia="宋体"/>
      <w:kern w:val="2"/>
      <w:sz w:val="21"/>
      <w:lang w:val="zh-CN" w:eastAsia="zh-CN"/>
    </w:rPr>
  </w:style>
  <w:style w:type="character" w:customStyle="1" w:styleId="44">
    <w:name w:val="样式 (中文) 仿宋_GB2312 三号"/>
    <w:basedOn w:val="19"/>
    <w:qFormat/>
    <w:uiPriority w:val="99"/>
    <w:rPr>
      <w:rFonts w:ascii="仿宋_GB2312" w:eastAsia="仿宋_GB2312" w:cs="仿宋_GB2312"/>
      <w:sz w:val="32"/>
      <w:szCs w:val="32"/>
    </w:rPr>
  </w:style>
  <w:style w:type="character" w:customStyle="1" w:styleId="45">
    <w:name w:val="Char Char3"/>
    <w:basedOn w:val="19"/>
    <w:qFormat/>
    <w:locked/>
    <w:uiPriority w:val="99"/>
    <w:rPr>
      <w:rFonts w:ascii="宋体" w:hAnsi="宋体" w:eastAsia="宋体" w:cs="宋体"/>
      <w:sz w:val="18"/>
      <w:szCs w:val="18"/>
      <w:lang w:val="en-US" w:eastAsia="zh-CN"/>
    </w:rPr>
  </w:style>
  <w:style w:type="paragraph" w:styleId="46">
    <w:name w:val="List Paragraph"/>
    <w:basedOn w:val="1"/>
    <w:qFormat/>
    <w:uiPriority w:val="99"/>
    <w:pPr>
      <w:ind w:firstLine="420" w:firstLineChars="200"/>
    </w:pPr>
  </w:style>
  <w:style w:type="character" w:customStyle="1" w:styleId="47">
    <w:name w:val="font21"/>
    <w:basedOn w:val="19"/>
    <w:qFormat/>
    <w:uiPriority w:val="99"/>
    <w:rPr>
      <w:rFonts w:ascii="宋体" w:hAnsi="宋体" w:eastAsia="宋体" w:cs="宋体"/>
      <w:color w:val="000000"/>
      <w:sz w:val="20"/>
      <w:szCs w:val="20"/>
      <w:u w:val="none"/>
    </w:rPr>
  </w:style>
  <w:style w:type="character" w:customStyle="1" w:styleId="48">
    <w:name w:val="font61"/>
    <w:basedOn w:val="19"/>
    <w:qFormat/>
    <w:uiPriority w:val="0"/>
    <w:rPr>
      <w:rFonts w:hint="eastAsia" w:ascii="宋体" w:hAnsi="宋体" w:eastAsia="宋体" w:cs="宋体"/>
      <w:color w:val="000000"/>
      <w:sz w:val="20"/>
      <w:szCs w:val="20"/>
      <w:u w:val="none"/>
    </w:rPr>
  </w:style>
  <w:style w:type="paragraph" w:customStyle="1" w:styleId="4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74</Pages>
  <Words>4371</Words>
  <Characters>24921</Characters>
  <Lines>0</Lines>
  <Paragraphs>0</Paragraphs>
  <TotalTime>23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琳涵</cp:lastModifiedBy>
  <dcterms:modified xsi:type="dcterms:W3CDTF">2020-01-09T15:08:08Z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